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51B22" w14:textId="49A2021D" w:rsidR="007F124C" w:rsidRDefault="007620E1" w:rsidP="007F124C">
      <w:pPr>
        <w:jc w:val="center"/>
        <w:rPr>
          <w:b/>
          <w:sz w:val="24"/>
          <w:u w:val="single"/>
        </w:rPr>
      </w:pPr>
      <w:r>
        <w:rPr>
          <w:b/>
          <w:noProof/>
          <w:sz w:val="24"/>
          <w:u w:val="single"/>
        </w:rPr>
        <w:drawing>
          <wp:anchor distT="0" distB="0" distL="114300" distR="114300" simplePos="0" relativeHeight="251660288" behindDoc="1" locked="0" layoutInCell="1" allowOverlap="1" wp14:anchorId="74EECE97" wp14:editId="06271CC7">
            <wp:simplePos x="0" y="0"/>
            <wp:positionH relativeFrom="column">
              <wp:posOffset>214630</wp:posOffset>
            </wp:positionH>
            <wp:positionV relativeFrom="paragraph">
              <wp:posOffset>-309245</wp:posOffset>
            </wp:positionV>
            <wp:extent cx="1085850" cy="1257300"/>
            <wp:effectExtent l="0" t="0" r="0" b="0"/>
            <wp:wrapNone/>
            <wp:docPr id="9493724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72448" name="Image 949372448"/>
                    <pic:cNvPicPr/>
                  </pic:nvPicPr>
                  <pic:blipFill>
                    <a:blip r:embed="rId8">
                      <a:extLst>
                        <a:ext uri="{28A0092B-C50C-407E-A947-70E740481C1C}">
                          <a14:useLocalDpi xmlns:a14="http://schemas.microsoft.com/office/drawing/2010/main" val="0"/>
                        </a:ext>
                      </a:extLst>
                    </a:blip>
                    <a:stretch>
                      <a:fillRect/>
                    </a:stretch>
                  </pic:blipFill>
                  <pic:spPr>
                    <a:xfrm>
                      <a:off x="0" y="0"/>
                      <a:ext cx="1085850" cy="1257300"/>
                    </a:xfrm>
                    <a:prstGeom prst="rect">
                      <a:avLst/>
                    </a:prstGeom>
                  </pic:spPr>
                </pic:pic>
              </a:graphicData>
            </a:graphic>
          </wp:anchor>
        </w:drawing>
      </w:r>
      <w:r>
        <w:rPr>
          <w:b/>
          <w:sz w:val="24"/>
          <w:u w:val="single"/>
        </w:rPr>
        <w:t xml:space="preserve">                                                  </w:t>
      </w:r>
      <w:r w:rsidR="007F124C" w:rsidRPr="007F124C">
        <w:rPr>
          <w:b/>
          <w:sz w:val="24"/>
          <w:u w:val="single"/>
        </w:rPr>
        <w:t>PROCES-VERBAL DU CONSEIL MUNICIPAL DU 20 JUIN 2024</w:t>
      </w:r>
      <w:r w:rsidR="007F124C">
        <w:rPr>
          <w:b/>
          <w:sz w:val="24"/>
          <w:u w:val="single"/>
        </w:rPr>
        <w:br/>
      </w:r>
      <w:r w:rsidR="007F124C" w:rsidRPr="007F124C">
        <w:rPr>
          <w:b/>
          <w:sz w:val="24"/>
          <w:u w:val="single"/>
        </w:rPr>
        <w:t>COMMUNE DE TRIEUX</w:t>
      </w:r>
    </w:p>
    <w:p w14:paraId="610F2BFF" w14:textId="77777777" w:rsidR="007620E1" w:rsidRDefault="007620E1" w:rsidP="007F124C">
      <w:pPr>
        <w:jc w:val="center"/>
        <w:rPr>
          <w:b/>
          <w:sz w:val="24"/>
          <w:u w:val="single"/>
        </w:rPr>
      </w:pPr>
    </w:p>
    <w:p w14:paraId="6B0ECBFA" w14:textId="77777777" w:rsidR="007F124C" w:rsidRDefault="007F124C" w:rsidP="007F124C">
      <w:pPr>
        <w:pStyle w:val="Sansinterligne"/>
      </w:pPr>
    </w:p>
    <w:p w14:paraId="31B433DA" w14:textId="77777777" w:rsidR="006F3FAD" w:rsidRDefault="006F3FAD" w:rsidP="007F124C">
      <w:pPr>
        <w:pStyle w:val="Sansinterligne"/>
      </w:pPr>
      <w:r>
        <w:t>La réunion a débuté</w:t>
      </w:r>
      <w:r w:rsidR="004532A8">
        <w:t xml:space="preserve"> le 20 juin 2024</w:t>
      </w:r>
      <w:r>
        <w:t xml:space="preserve"> à 18h30 sous la présidence du Maire, Monsieur KOCIAK Jean-Claude.</w:t>
      </w:r>
    </w:p>
    <w:p w14:paraId="6935F9C0" w14:textId="77777777" w:rsidR="003115AE" w:rsidRDefault="003115AE" w:rsidP="007F124C">
      <w:pPr>
        <w:pStyle w:val="Sansinterligne"/>
      </w:pPr>
    </w:p>
    <w:p w14:paraId="56BB267F" w14:textId="77777777" w:rsidR="003115AE" w:rsidRDefault="004532A8" w:rsidP="007F124C">
      <w:pPr>
        <w:pStyle w:val="Sansinterligne"/>
        <w:rPr>
          <w:b/>
        </w:rPr>
      </w:pPr>
      <w:r>
        <w:rPr>
          <w:b/>
          <w:u w:val="single"/>
        </w:rPr>
        <w:t>Membres</w:t>
      </w:r>
      <w:r w:rsidR="003115AE" w:rsidRPr="003115AE">
        <w:rPr>
          <w:b/>
          <w:u w:val="single"/>
        </w:rPr>
        <w:t xml:space="preserve"> présents</w:t>
      </w:r>
      <w:r w:rsidR="003115AE" w:rsidRPr="003115AE">
        <w:rPr>
          <w:b/>
        </w:rPr>
        <w:t> :</w:t>
      </w:r>
    </w:p>
    <w:p w14:paraId="64C0B79E" w14:textId="77777777" w:rsidR="003115AE" w:rsidRDefault="00FD3124" w:rsidP="00FD3124">
      <w:pPr>
        <w:pStyle w:val="Sansinterligne"/>
      </w:pPr>
      <w:r>
        <w:t>Monsieur BOSSI Yoann</w:t>
      </w:r>
      <w:r>
        <w:br/>
        <w:t>Monsieur CERONE Antony</w:t>
      </w:r>
      <w:r>
        <w:br/>
        <w:t>Madame CIPRIANI Christiane</w:t>
      </w:r>
      <w:r>
        <w:br/>
        <w:t>Madame DELLES Nathalie</w:t>
      </w:r>
      <w:r>
        <w:br/>
        <w:t>Madame DURLA Jocelyne</w:t>
      </w:r>
      <w:r>
        <w:br/>
        <w:t>Monsieur KOCIAK Jean-Claude</w:t>
      </w:r>
      <w:r>
        <w:br/>
        <w:t>Monsieur MENGHI Marizio</w:t>
      </w:r>
      <w:r>
        <w:br/>
        <w:t>Madame MILIZIANO Jennifer</w:t>
      </w:r>
      <w:r>
        <w:br/>
        <w:t>Monsieur RIANI Gérald</w:t>
      </w:r>
      <w:r>
        <w:br/>
        <w:t>Madame SABBA Barissa</w:t>
      </w:r>
      <w:r>
        <w:br/>
        <w:t>Monsieur TELLIER Olivier</w:t>
      </w:r>
      <w:r>
        <w:br/>
        <w:t>Monsieur TOMC Claude</w:t>
      </w:r>
      <w:r>
        <w:br/>
        <w:t>Madame VAN MEEL Lucie</w:t>
      </w:r>
    </w:p>
    <w:p w14:paraId="50510E4D" w14:textId="77777777" w:rsidR="00102668" w:rsidRDefault="00102668" w:rsidP="007F124C">
      <w:pPr>
        <w:pStyle w:val="Sansinterligne"/>
        <w:rPr>
          <w:b/>
          <w:u w:val="single"/>
        </w:rPr>
      </w:pPr>
    </w:p>
    <w:p w14:paraId="509E7B03" w14:textId="77777777" w:rsidR="003115AE" w:rsidRDefault="004532A8" w:rsidP="007F124C">
      <w:pPr>
        <w:pStyle w:val="Sansinterligne"/>
        <w:rPr>
          <w:b/>
        </w:rPr>
      </w:pPr>
      <w:r>
        <w:rPr>
          <w:b/>
          <w:u w:val="single"/>
        </w:rPr>
        <w:t>Membres</w:t>
      </w:r>
      <w:r w:rsidR="00BF0567" w:rsidRPr="003115AE">
        <w:rPr>
          <w:b/>
          <w:u w:val="single"/>
        </w:rPr>
        <w:t xml:space="preserve"> </w:t>
      </w:r>
      <w:r w:rsidR="003115AE" w:rsidRPr="003115AE">
        <w:rPr>
          <w:b/>
          <w:u w:val="single"/>
        </w:rPr>
        <w:t>absents représentés</w:t>
      </w:r>
      <w:r w:rsidR="003115AE" w:rsidRPr="003115AE">
        <w:rPr>
          <w:b/>
        </w:rPr>
        <w:t> :</w:t>
      </w:r>
    </w:p>
    <w:p w14:paraId="6AE1F02A" w14:textId="12E83007" w:rsidR="00F81B3D" w:rsidRDefault="00C12763" w:rsidP="00F81B3D">
      <w:pPr>
        <w:pStyle w:val="Sansinterligne"/>
      </w:pPr>
      <w:r>
        <w:t>Madame DEVAUX Stéphanie    Pouvoir donné à M TELLIER Olivier</w:t>
      </w:r>
      <w:r>
        <w:br/>
        <w:t>Monsieur GIANGRANDI Patrick    Pouvoir donné à M RIANI Gérald</w:t>
      </w:r>
      <w:r>
        <w:br/>
        <w:t>Madame LANDOWSKY Sylvie    Pouvoir donné à M TOMC Claude</w:t>
      </w:r>
      <w:r>
        <w:br/>
        <w:t>Madame MANGEOT Nathalie    Pouvoir donné à Mme MILIZIANO Jennifer</w:t>
      </w:r>
      <w:r>
        <w:br/>
        <w:t>Monsieur MARZEK Jean-Pierre    Pouvoir donné à M KOCIAK Jean-Claude</w:t>
      </w:r>
      <w:r>
        <w:br/>
        <w:t>Madame THIRION WATRIN Frédérique    Pouvoir donné à Mme SABBA Barissa</w:t>
      </w:r>
    </w:p>
    <w:p w14:paraId="78C75F6F" w14:textId="77777777" w:rsidR="00F81B3D" w:rsidRDefault="00F81B3D" w:rsidP="00F81B3D">
      <w:pPr>
        <w:pStyle w:val="Sansinterligne"/>
        <w:rPr>
          <w:b/>
          <w:u w:val="single"/>
        </w:rPr>
      </w:pPr>
    </w:p>
    <w:p w14:paraId="13A51FFC" w14:textId="77777777" w:rsidR="00F81B3D" w:rsidRDefault="004532A8" w:rsidP="00F81B3D">
      <w:pPr>
        <w:pStyle w:val="Sansinterligne"/>
        <w:rPr>
          <w:b/>
        </w:rPr>
      </w:pPr>
      <w:r>
        <w:rPr>
          <w:b/>
          <w:u w:val="single"/>
        </w:rPr>
        <w:t>Membres</w:t>
      </w:r>
      <w:r w:rsidR="00BF0567" w:rsidRPr="003115AE">
        <w:rPr>
          <w:b/>
          <w:u w:val="single"/>
        </w:rPr>
        <w:t xml:space="preserve"> </w:t>
      </w:r>
      <w:r w:rsidR="00F81B3D" w:rsidRPr="003115AE">
        <w:rPr>
          <w:b/>
          <w:u w:val="single"/>
        </w:rPr>
        <w:t>absents</w:t>
      </w:r>
      <w:r w:rsidR="00F81B3D">
        <w:rPr>
          <w:b/>
          <w:u w:val="single"/>
        </w:rPr>
        <w:t xml:space="preserve"> </w:t>
      </w:r>
      <w:r w:rsidR="00F81B3D" w:rsidRPr="003115AE">
        <w:rPr>
          <w:b/>
        </w:rPr>
        <w:t>:</w:t>
      </w:r>
    </w:p>
    <w:p w14:paraId="03EB2E7E" w14:textId="77777777" w:rsidR="00994CE0" w:rsidRDefault="00F81B3D" w:rsidP="00F81B3D">
      <w:pPr>
        <w:pStyle w:val="Sansinterligne"/>
      </w:pPr>
      <w:r>
        <w:t>Monsieur BARBERIO Antoine</w:t>
      </w:r>
    </w:p>
    <w:p w14:paraId="40C8C75C" w14:textId="75E0C537" w:rsidR="00F81B3D" w:rsidRDefault="00994CE0" w:rsidP="00F81B3D">
      <w:pPr>
        <w:pStyle w:val="Sansinterligne"/>
      </w:pPr>
      <w:r>
        <w:t>Madame FILLGRAFF Monique</w:t>
      </w:r>
      <w:r w:rsidR="00F81B3D">
        <w:br/>
        <w:t>Monsieur HENRY Pascal</w:t>
      </w:r>
      <w:r w:rsidR="00F81B3D">
        <w:br/>
        <w:t>Monsieur THOMAS Julien</w:t>
      </w:r>
    </w:p>
    <w:p w14:paraId="7194F2D4" w14:textId="77777777" w:rsidR="003115AE" w:rsidRDefault="003115AE" w:rsidP="007F124C">
      <w:pPr>
        <w:pStyle w:val="Sansinterligne"/>
      </w:pPr>
    </w:p>
    <w:p w14:paraId="7A34AA1F" w14:textId="77777777" w:rsidR="004532A8" w:rsidRDefault="004532A8" w:rsidP="007F124C">
      <w:pPr>
        <w:pStyle w:val="Sansinterligne"/>
      </w:pPr>
      <w:r>
        <w:t>Secrétaire de séance : Monsieur BOSSI Yoann</w:t>
      </w:r>
    </w:p>
    <w:p w14:paraId="516F51E2" w14:textId="77777777" w:rsidR="003115AE" w:rsidRDefault="003115AE" w:rsidP="007F124C">
      <w:pPr>
        <w:pStyle w:val="Sansinterligne"/>
      </w:pPr>
      <w:r>
        <w:t xml:space="preserve">Le quorum (plus de la moitié des </w:t>
      </w:r>
      <w:r w:rsidR="00102668">
        <w:t>23</w:t>
      </w:r>
      <w:r w:rsidR="00B867E8">
        <w:t xml:space="preserve"> membres) étant</w:t>
      </w:r>
      <w:r>
        <w:t xml:space="preserve"> atteint, la séance est ouverte.</w:t>
      </w:r>
    </w:p>
    <w:p w14:paraId="36A53739" w14:textId="77777777" w:rsidR="006B4840" w:rsidRDefault="006B4840" w:rsidP="007F124C">
      <w:pPr>
        <w:pStyle w:val="Sansinterligne"/>
      </w:pPr>
    </w:p>
    <w:p w14:paraId="7B4463AA" w14:textId="77777777" w:rsidR="00916CA2" w:rsidRDefault="003115AE" w:rsidP="00796917">
      <w:pPr>
        <w:pStyle w:val="Sansinterligne"/>
        <w:rPr>
          <w:b/>
        </w:rPr>
      </w:pPr>
      <w:r w:rsidRPr="003115AE">
        <w:rPr>
          <w:b/>
          <w:u w:val="single"/>
        </w:rPr>
        <w:t>Ordre du jour</w:t>
      </w:r>
      <w:r w:rsidRPr="003115AE">
        <w:rPr>
          <w:b/>
        </w:rPr>
        <w:t> :</w:t>
      </w:r>
    </w:p>
    <w:p w14:paraId="09B0686C" w14:textId="14FF6B38" w:rsidR="00836C33" w:rsidRPr="00916CA2" w:rsidRDefault="00126380" w:rsidP="00916CA2">
      <w:pPr>
        <w:pStyle w:val="Sansinterligne"/>
      </w:pPr>
      <w:r w:rsidRPr="00916CA2">
        <w:t xml:space="preserve">119_2024 - ORNE THD : convention de programmation et de suivi des </w:t>
      </w:r>
      <w:r w:rsidR="007620E1" w:rsidRPr="00916CA2">
        <w:t>déploiements</w:t>
      </w:r>
      <w:r w:rsidRPr="00916CA2">
        <w:t xml:space="preserve"> </w:t>
      </w:r>
      <w:proofErr w:type="spellStart"/>
      <w:r w:rsidRPr="00916CA2">
        <w:t>FttH</w:t>
      </w:r>
      <w:proofErr w:type="spellEnd"/>
    </w:p>
    <w:p w14:paraId="4FA2ADDB" w14:textId="77777777" w:rsidR="00836C33" w:rsidRPr="00916CA2" w:rsidRDefault="00126380" w:rsidP="00916CA2">
      <w:pPr>
        <w:pStyle w:val="Sansinterligne"/>
      </w:pPr>
      <w:r w:rsidRPr="00916CA2">
        <w:t>120_2024 - Provisions pour créances douteuses</w:t>
      </w:r>
    </w:p>
    <w:p w14:paraId="2EF4945C" w14:textId="77777777" w:rsidR="00836C33" w:rsidRPr="00916CA2" w:rsidRDefault="00126380" w:rsidP="00916CA2">
      <w:pPr>
        <w:pStyle w:val="Sansinterligne"/>
      </w:pPr>
      <w:r w:rsidRPr="00916CA2">
        <w:t>121_2024 - Décisions Modificatives n°1</w:t>
      </w:r>
    </w:p>
    <w:p w14:paraId="77EC532D" w14:textId="77777777" w:rsidR="00836C33" w:rsidRPr="00916CA2" w:rsidRDefault="00126380" w:rsidP="00916CA2">
      <w:pPr>
        <w:pStyle w:val="Sansinterligne"/>
      </w:pPr>
      <w:r w:rsidRPr="00916CA2">
        <w:t>122_2024 - MMD54 : groupement de commande travaux de chaussées</w:t>
      </w:r>
    </w:p>
    <w:p w14:paraId="403FE9AC" w14:textId="77777777" w:rsidR="00836C33" w:rsidRPr="00916CA2" w:rsidRDefault="00126380" w:rsidP="00916CA2">
      <w:pPr>
        <w:pStyle w:val="Sansinterligne"/>
      </w:pPr>
      <w:r w:rsidRPr="00916CA2">
        <w:t xml:space="preserve">123_2024 - SPL </w:t>
      </w:r>
      <w:proofErr w:type="spellStart"/>
      <w:r w:rsidRPr="00916CA2">
        <w:t>Xdemat</w:t>
      </w:r>
      <w:proofErr w:type="spellEnd"/>
      <w:r w:rsidRPr="00916CA2">
        <w:t xml:space="preserve"> : Réunion de l’Assemblée générale sur la répartition du capital social</w:t>
      </w:r>
    </w:p>
    <w:p w14:paraId="6EF43CEE" w14:textId="77777777" w:rsidR="00836C33" w:rsidRPr="00916CA2" w:rsidRDefault="00126380" w:rsidP="00916CA2">
      <w:pPr>
        <w:pStyle w:val="Sansinterligne"/>
      </w:pPr>
      <w:r w:rsidRPr="00916CA2">
        <w:t>124_2024 - Mutuelle Familiale</w:t>
      </w:r>
    </w:p>
    <w:p w14:paraId="2AD2614F" w14:textId="77777777" w:rsidR="00C301E4" w:rsidRDefault="00C301E4" w:rsidP="00CC37D0">
      <w:pPr>
        <w:pStyle w:val="Sansinterligne"/>
      </w:pPr>
      <w:r>
        <w:t>- Questions diverses</w:t>
      </w:r>
    </w:p>
    <w:p w14:paraId="63EBEE6F" w14:textId="77777777" w:rsidR="00A5652F" w:rsidRDefault="00A5652F" w:rsidP="003115AE">
      <w:pPr>
        <w:pStyle w:val="Sansinterligne"/>
        <w:pBdr>
          <w:bottom w:val="single" w:sz="6" w:space="1" w:color="auto"/>
        </w:pBdr>
      </w:pPr>
    </w:p>
    <w:p w14:paraId="6D271740" w14:textId="77777777" w:rsidR="00217A58" w:rsidRDefault="00217A58" w:rsidP="00217A58">
      <w:pPr>
        <w:pStyle w:val="Sansinterligne"/>
        <w:rPr>
          <w:b/>
        </w:rPr>
      </w:pPr>
    </w:p>
    <w:p w14:paraId="0FB3E6EB" w14:textId="7FA02D57" w:rsidR="00217A58" w:rsidRPr="00FC2D77" w:rsidRDefault="00217A58" w:rsidP="00A91967">
      <w:pPr>
        <w:pStyle w:val="Sansinterligne"/>
        <w:pBdr>
          <w:top w:val="single" w:sz="4" w:space="1" w:color="auto"/>
          <w:left w:val="single" w:sz="4" w:space="4" w:color="auto"/>
          <w:bottom w:val="single" w:sz="4" w:space="1" w:color="auto"/>
          <w:right w:val="single" w:sz="4" w:space="4" w:color="auto"/>
        </w:pBdr>
        <w:rPr>
          <w:b/>
        </w:rPr>
      </w:pPr>
      <w:r w:rsidRPr="00FC2D77">
        <w:rPr>
          <w:b/>
        </w:rPr>
        <w:lastRenderedPageBreak/>
        <w:t xml:space="preserve">119_2024 - ORNE THD : convention de programmation et de suivi des </w:t>
      </w:r>
      <w:r w:rsidR="007620E1" w:rsidRPr="00FC2D77">
        <w:rPr>
          <w:b/>
        </w:rPr>
        <w:t>déploiements</w:t>
      </w:r>
      <w:r w:rsidRPr="00FC2D77">
        <w:rPr>
          <w:b/>
        </w:rPr>
        <w:t xml:space="preserve"> </w:t>
      </w:r>
      <w:proofErr w:type="spellStart"/>
      <w:r w:rsidRPr="00FC2D77">
        <w:rPr>
          <w:b/>
        </w:rPr>
        <w:t>FttH</w:t>
      </w:r>
      <w:proofErr w:type="spellEnd"/>
    </w:p>
    <w:p w14:paraId="03AE71CF" w14:textId="77777777" w:rsidR="00850C98" w:rsidRDefault="00850C98" w:rsidP="00217A58">
      <w:pPr>
        <w:pStyle w:val="Sansinterligne"/>
        <w:rPr>
          <w:color w:val="FF0000"/>
        </w:rPr>
      </w:pPr>
    </w:p>
    <w:p w14:paraId="4DA1CB74" w14:textId="77777777" w:rsidR="00305526" w:rsidRDefault="00994CE0" w:rsidP="000038F4">
      <w:pPr>
        <w:spacing w:before="240" w:after="240"/>
        <w:jc w:val="both"/>
        <w:rPr>
          <w:rFonts w:ascii="Verdana" w:hAnsi="Verdana" w:cs="Arial"/>
          <w:color w:val="000000"/>
          <w:sz w:val="20"/>
          <w:szCs w:val="20"/>
        </w:rPr>
      </w:pPr>
      <w:r>
        <w:rPr>
          <w:rFonts w:ascii="Verdana" w:hAnsi="Verdana" w:cs="Arial"/>
          <w:color w:val="000000"/>
          <w:sz w:val="20"/>
          <w:szCs w:val="20"/>
        </w:rPr>
        <w:t xml:space="preserve">M. Tellier explique au conseil municipal que </w:t>
      </w:r>
      <w:r w:rsidR="000038F4" w:rsidRPr="000038F4">
        <w:rPr>
          <w:rFonts w:ascii="Verdana" w:hAnsi="Verdana" w:cs="Arial"/>
          <w:color w:val="000000"/>
          <w:sz w:val="20"/>
          <w:szCs w:val="20"/>
        </w:rPr>
        <w:t>Orne THD souhaite devenir un opérateur unique pour l'installation de la fibre sur notre territoire et propose de transformer cette infrastructure en un réseau multi-opérateur</w:t>
      </w:r>
      <w:r w:rsidR="00305526">
        <w:rPr>
          <w:rFonts w:ascii="Verdana" w:hAnsi="Verdana" w:cs="Arial"/>
          <w:color w:val="000000"/>
          <w:sz w:val="20"/>
          <w:szCs w:val="20"/>
        </w:rPr>
        <w:t xml:space="preserve"> dont les opérateurs historiques</w:t>
      </w:r>
      <w:r w:rsidR="000038F4" w:rsidRPr="000038F4">
        <w:rPr>
          <w:rFonts w:ascii="Verdana" w:hAnsi="Verdana" w:cs="Arial"/>
          <w:color w:val="000000"/>
          <w:sz w:val="20"/>
          <w:szCs w:val="20"/>
        </w:rPr>
        <w:t>, conformément à la loi. Cette transition est cruciale, car elle permettrait de :</w:t>
      </w:r>
      <w:r w:rsidR="000038F4">
        <w:rPr>
          <w:rFonts w:ascii="Verdana" w:hAnsi="Verdana" w:cs="Arial"/>
          <w:color w:val="000000"/>
          <w:sz w:val="20"/>
          <w:szCs w:val="20"/>
        </w:rPr>
        <w:t xml:space="preserve"> </w:t>
      </w:r>
      <w:r w:rsidR="000038F4" w:rsidRPr="000038F4">
        <w:rPr>
          <w:rFonts w:ascii="Verdana" w:hAnsi="Verdana" w:cs="Arial"/>
          <w:color w:val="000000"/>
          <w:sz w:val="20"/>
          <w:szCs w:val="20"/>
        </w:rPr>
        <w:t>Assurer une couverture fibre à 100 % sur le territoire, contrairement aux engagements d'Orange qui ne couvrent que 80 % des foyers.</w:t>
      </w:r>
      <w:r w:rsidR="00305526">
        <w:rPr>
          <w:rFonts w:ascii="Verdana" w:hAnsi="Verdana" w:cs="Arial"/>
          <w:color w:val="000000"/>
          <w:sz w:val="20"/>
          <w:szCs w:val="20"/>
        </w:rPr>
        <w:t xml:space="preserve"> Ces travaux représentent pour notre territoire un investissement de 6 000 000 €.</w:t>
      </w:r>
    </w:p>
    <w:p w14:paraId="3A93F451" w14:textId="4D8104BC" w:rsidR="000038F4" w:rsidRPr="000038F4" w:rsidRDefault="000038F4" w:rsidP="000038F4">
      <w:pPr>
        <w:spacing w:before="240" w:after="240"/>
        <w:jc w:val="both"/>
        <w:rPr>
          <w:rFonts w:ascii="Verdana" w:hAnsi="Verdana" w:cs="Arial"/>
          <w:color w:val="000000"/>
          <w:sz w:val="20"/>
          <w:szCs w:val="20"/>
        </w:rPr>
      </w:pPr>
      <w:r w:rsidRPr="000038F4">
        <w:rPr>
          <w:rFonts w:ascii="Verdana" w:hAnsi="Verdana" w:cs="Arial"/>
          <w:color w:val="000000"/>
          <w:sz w:val="20"/>
          <w:szCs w:val="20"/>
        </w:rPr>
        <w:t>Cette collaboration permettra de réaliser notre ambition de développement numérique sans engager des dépenses supplémentaires pour notre collectivité. De plus, en garantissant une couverture fibre intégrale, nous renforçons l'attractivité de notre territoire et soutenons son développement économique, social et culturel.</w:t>
      </w:r>
    </w:p>
    <w:p w14:paraId="54461BDE" w14:textId="5910A7B5" w:rsidR="000038F4" w:rsidRDefault="000038F4" w:rsidP="000038F4">
      <w:pPr>
        <w:spacing w:before="240" w:after="240"/>
        <w:jc w:val="both"/>
        <w:rPr>
          <w:rFonts w:ascii="Verdana" w:hAnsi="Verdana" w:cs="Arial"/>
          <w:color w:val="000000"/>
          <w:sz w:val="20"/>
          <w:szCs w:val="20"/>
        </w:rPr>
      </w:pPr>
      <w:r w:rsidRPr="000038F4">
        <w:rPr>
          <w:rFonts w:ascii="Verdana" w:hAnsi="Verdana" w:cs="Arial"/>
          <w:color w:val="000000"/>
          <w:sz w:val="20"/>
          <w:szCs w:val="20"/>
        </w:rPr>
        <w:t>En signant cet accord, nous prenons une décision stratégique pour l'avenir de notre territoire, en mettant en place une infrastructure numérique de pointe qui bénéficiera à l'ensemble de nos concitoyens et entreprises, tout en respectant nos devoirs de gestion et de développement des réseaux de télécommunication.</w:t>
      </w:r>
    </w:p>
    <w:p w14:paraId="11140D36" w14:textId="0925DA1D" w:rsidR="0038738C" w:rsidRDefault="0038738C" w:rsidP="00994CE0">
      <w:pPr>
        <w:spacing w:before="240" w:after="240"/>
        <w:jc w:val="both"/>
        <w:rPr>
          <w:rFonts w:ascii="Verdana" w:hAnsi="Verdana" w:cs="Arial"/>
          <w:sz w:val="20"/>
          <w:szCs w:val="20"/>
        </w:rPr>
      </w:pPr>
      <w:r>
        <w:rPr>
          <w:rFonts w:ascii="Verdana" w:hAnsi="Verdana" w:cs="Arial"/>
          <w:color w:val="000000"/>
          <w:sz w:val="20"/>
          <w:szCs w:val="20"/>
        </w:rPr>
        <w:t>Après discussion le conseil municipal est favorable à l’unanimité pour cette convention.</w:t>
      </w:r>
    </w:p>
    <w:p w14:paraId="7215C287" w14:textId="77777777" w:rsidR="00850C98" w:rsidRDefault="00850C98" w:rsidP="00217A58">
      <w:pPr>
        <w:pStyle w:val="Sansinterligne"/>
        <w:rPr>
          <w:color w:val="FF0000"/>
        </w:rPr>
      </w:pPr>
    </w:p>
    <w:p w14:paraId="47D4ACC7" w14:textId="77777777" w:rsidR="00FC2D77" w:rsidRPr="00447E28" w:rsidRDefault="00FC2D77" w:rsidP="00217A58">
      <w:pPr>
        <w:pStyle w:val="Sansinterligne"/>
      </w:pPr>
      <w:r>
        <w:rPr>
          <w:b/>
          <w:bCs/>
          <w:color w:val="000000"/>
          <w:sz w:val="24"/>
          <w:szCs w:val="24"/>
        </w:rPr>
        <w:t>20 voix pour</w:t>
      </w:r>
    </w:p>
    <w:p w14:paraId="44F53252" w14:textId="77777777" w:rsidR="00FC2D77" w:rsidRPr="00FC2D77" w:rsidRDefault="00FC2D77" w:rsidP="00217A58">
      <w:pPr>
        <w:pStyle w:val="Sansinterligne"/>
        <w:rPr>
          <w:b/>
        </w:rPr>
      </w:pPr>
    </w:p>
    <w:p w14:paraId="0D986070" w14:textId="77777777" w:rsidR="00217A58" w:rsidRPr="00FC2D77" w:rsidRDefault="00217A58" w:rsidP="00A91967">
      <w:pPr>
        <w:pStyle w:val="Sansinterligne"/>
        <w:pBdr>
          <w:top w:val="single" w:sz="4" w:space="1" w:color="auto"/>
          <w:left w:val="single" w:sz="4" w:space="4" w:color="auto"/>
          <w:bottom w:val="single" w:sz="4" w:space="1" w:color="auto"/>
          <w:right w:val="single" w:sz="4" w:space="4" w:color="auto"/>
        </w:pBdr>
        <w:rPr>
          <w:b/>
        </w:rPr>
      </w:pPr>
      <w:r w:rsidRPr="00FC2D77">
        <w:rPr>
          <w:b/>
        </w:rPr>
        <w:t>120_2024 - Provisions pour créances douteuses</w:t>
      </w:r>
    </w:p>
    <w:p w14:paraId="29B86AB3" w14:textId="77777777" w:rsidR="00850C98" w:rsidRDefault="00850C98" w:rsidP="00217A58">
      <w:pPr>
        <w:pStyle w:val="Sansinterligne"/>
        <w:rPr>
          <w:color w:val="FF0000"/>
        </w:rPr>
      </w:pPr>
    </w:p>
    <w:p w14:paraId="522BAF81" w14:textId="77777777" w:rsidR="0038738C" w:rsidRDefault="0038738C" w:rsidP="0038738C">
      <w:pPr>
        <w:spacing w:after="0"/>
        <w:jc w:val="both"/>
        <w:rPr>
          <w:rFonts w:ascii="Verdana" w:hAnsi="Verdana" w:cs="Arial"/>
          <w:sz w:val="20"/>
          <w:szCs w:val="20"/>
        </w:rPr>
      </w:pPr>
      <w:r>
        <w:rPr>
          <w:rFonts w:ascii="Verdana" w:hAnsi="Verdana" w:cs="Arial"/>
          <w:color w:val="000000"/>
          <w:sz w:val="20"/>
          <w:szCs w:val="20"/>
        </w:rPr>
        <w:t>M. Tellier explique qu'avec la mise en place de la M57, la constitution de provision pour créances douteuses est obligatoire.</w:t>
      </w:r>
    </w:p>
    <w:p w14:paraId="70F8C239" w14:textId="77777777" w:rsidR="0038738C" w:rsidRDefault="0038738C" w:rsidP="0038738C">
      <w:pPr>
        <w:spacing w:after="0"/>
        <w:jc w:val="both"/>
        <w:rPr>
          <w:rFonts w:ascii="Verdana" w:hAnsi="Verdana" w:cs="Arial"/>
          <w:sz w:val="20"/>
          <w:szCs w:val="20"/>
        </w:rPr>
      </w:pPr>
      <w:r>
        <w:rPr>
          <w:rFonts w:ascii="Verdana" w:hAnsi="Verdana" w:cs="Arial"/>
          <w:color w:val="000000"/>
          <w:sz w:val="20"/>
          <w:szCs w:val="20"/>
        </w:rPr>
        <w:t>La constitution de provisions pour créances douteuses constitue une dépense obligatoire au vu de la réglementation.</w:t>
      </w:r>
    </w:p>
    <w:p w14:paraId="6ACB6C54" w14:textId="77777777" w:rsidR="0038738C" w:rsidRDefault="0038738C" w:rsidP="0038738C">
      <w:pPr>
        <w:spacing w:after="0"/>
        <w:jc w:val="both"/>
        <w:rPr>
          <w:rFonts w:ascii="Verdana" w:hAnsi="Verdana" w:cs="Arial"/>
          <w:sz w:val="20"/>
          <w:szCs w:val="20"/>
        </w:rPr>
      </w:pPr>
      <w:r>
        <w:rPr>
          <w:rFonts w:ascii="Verdana" w:hAnsi="Verdana" w:cs="Arial"/>
          <w:color w:val="000000"/>
          <w:sz w:val="20"/>
          <w:szCs w:val="20"/>
        </w:rPr>
        <w:t>Le conseil municipal, après en avoir délibéré, :</w:t>
      </w:r>
    </w:p>
    <w:p w14:paraId="1907B7E5" w14:textId="77777777" w:rsidR="0038738C" w:rsidRDefault="0038738C" w:rsidP="0038738C">
      <w:pPr>
        <w:numPr>
          <w:ilvl w:val="0"/>
          <w:numId w:val="6"/>
        </w:numPr>
        <w:spacing w:after="0" w:line="240" w:lineRule="auto"/>
        <w:jc w:val="both"/>
        <w:rPr>
          <w:rFonts w:ascii="Verdana" w:hAnsi="Verdana" w:cs="Arial"/>
          <w:sz w:val="20"/>
          <w:szCs w:val="20"/>
        </w:rPr>
      </w:pPr>
      <w:r>
        <w:rPr>
          <w:rFonts w:ascii="Verdana" w:hAnsi="Verdana" w:cs="Arial"/>
          <w:color w:val="000000"/>
          <w:sz w:val="20"/>
          <w:szCs w:val="20"/>
        </w:rPr>
        <w:t>Décide d'opter pour le calcul des dotations aux provisions des créances douteuses, à compter de l'exercice 2023, la méthode prenant en compte l'ancienneté de la créance comme premier indice des difficultés pouvant affecter le recouvrement d'une créance, avec des taux forfaitaires de dépréciation applicable de la manière suivant :</w:t>
      </w:r>
    </w:p>
    <w:p w14:paraId="58269CE3" w14:textId="77777777" w:rsidR="0038738C" w:rsidRDefault="0038738C" w:rsidP="0038738C">
      <w:pPr>
        <w:numPr>
          <w:ilvl w:val="0"/>
          <w:numId w:val="6"/>
        </w:numPr>
        <w:spacing w:after="0" w:line="240" w:lineRule="auto"/>
        <w:jc w:val="both"/>
        <w:rPr>
          <w:rFonts w:ascii="Verdana" w:hAnsi="Verdana" w:cs="Arial"/>
          <w:sz w:val="20"/>
          <w:szCs w:val="20"/>
        </w:rPr>
      </w:pPr>
      <w:r>
        <w:rPr>
          <w:rFonts w:ascii="Verdana" w:hAnsi="Verdana" w:cs="Arial"/>
          <w:color w:val="000000"/>
          <w:sz w:val="20"/>
          <w:szCs w:val="20"/>
        </w:rPr>
        <w:t>Exercice de prise en charge de la créance</w:t>
      </w:r>
    </w:p>
    <w:p w14:paraId="5C5DA25B" w14:textId="77777777" w:rsidR="0038738C" w:rsidRDefault="0038738C" w:rsidP="0038738C">
      <w:pPr>
        <w:numPr>
          <w:ilvl w:val="0"/>
          <w:numId w:val="6"/>
        </w:numPr>
        <w:spacing w:after="0" w:line="240" w:lineRule="auto"/>
        <w:jc w:val="both"/>
        <w:rPr>
          <w:rFonts w:ascii="Verdana" w:hAnsi="Verdana" w:cs="Arial"/>
          <w:sz w:val="20"/>
          <w:szCs w:val="20"/>
        </w:rPr>
      </w:pPr>
      <w:r>
        <w:rPr>
          <w:rFonts w:ascii="Verdana" w:hAnsi="Verdana" w:cs="Arial"/>
          <w:color w:val="000000"/>
          <w:sz w:val="20"/>
          <w:szCs w:val="20"/>
        </w:rPr>
        <w:t>Taux de dépréciation N 0% N-1 5% N-2 15% N-3 25% N-4 50% n-5 100%</w:t>
      </w:r>
    </w:p>
    <w:p w14:paraId="0F2A5A7F" w14:textId="77777777" w:rsidR="0038738C" w:rsidRDefault="0038738C" w:rsidP="0038738C">
      <w:pPr>
        <w:numPr>
          <w:ilvl w:val="0"/>
          <w:numId w:val="6"/>
        </w:numPr>
        <w:spacing w:after="0" w:line="240" w:lineRule="auto"/>
        <w:jc w:val="both"/>
        <w:rPr>
          <w:rFonts w:ascii="Verdana" w:hAnsi="Verdana" w:cs="Arial"/>
          <w:sz w:val="20"/>
          <w:szCs w:val="20"/>
        </w:rPr>
      </w:pPr>
      <w:r>
        <w:rPr>
          <w:rFonts w:ascii="Verdana" w:hAnsi="Verdana" w:cs="Arial"/>
          <w:color w:val="000000"/>
          <w:sz w:val="20"/>
          <w:szCs w:val="20"/>
        </w:rPr>
        <w:t>Dit que les crédits correspondants seront inscrits, chaque année, l'article 681</w:t>
      </w:r>
    </w:p>
    <w:p w14:paraId="22E22FD8" w14:textId="366169FC" w:rsidR="009F761C" w:rsidRDefault="009F761C" w:rsidP="00217A58">
      <w:pPr>
        <w:pStyle w:val="Sansinterligne"/>
        <w:rPr>
          <w:color w:val="FF0000"/>
        </w:rPr>
      </w:pPr>
    </w:p>
    <w:p w14:paraId="5A522AA3" w14:textId="77777777" w:rsidR="00850C98" w:rsidRDefault="00850C98" w:rsidP="00217A58">
      <w:pPr>
        <w:pStyle w:val="Sansinterligne"/>
        <w:rPr>
          <w:color w:val="FF0000"/>
        </w:rPr>
      </w:pPr>
    </w:p>
    <w:p w14:paraId="1D3A9FC2" w14:textId="77777777" w:rsidR="00FC2D77" w:rsidRPr="00447E28" w:rsidRDefault="00FC2D77" w:rsidP="00217A58">
      <w:pPr>
        <w:pStyle w:val="Sansinterligne"/>
      </w:pPr>
      <w:r>
        <w:rPr>
          <w:b/>
          <w:bCs/>
          <w:color w:val="000000"/>
          <w:sz w:val="24"/>
          <w:szCs w:val="24"/>
        </w:rPr>
        <w:t>20 voix pour</w:t>
      </w:r>
    </w:p>
    <w:p w14:paraId="6D0FA892" w14:textId="77777777" w:rsidR="00FC2D77" w:rsidRPr="00FC2D77" w:rsidRDefault="00FC2D77" w:rsidP="00217A58">
      <w:pPr>
        <w:pStyle w:val="Sansinterligne"/>
        <w:rPr>
          <w:b/>
        </w:rPr>
      </w:pPr>
    </w:p>
    <w:p w14:paraId="0CC2D3BE" w14:textId="77777777" w:rsidR="00217A58" w:rsidRPr="00FC2D77" w:rsidRDefault="00217A58" w:rsidP="00A91967">
      <w:pPr>
        <w:pStyle w:val="Sansinterligne"/>
        <w:pBdr>
          <w:top w:val="single" w:sz="4" w:space="1" w:color="auto"/>
          <w:left w:val="single" w:sz="4" w:space="4" w:color="auto"/>
          <w:bottom w:val="single" w:sz="4" w:space="1" w:color="auto"/>
          <w:right w:val="single" w:sz="4" w:space="4" w:color="auto"/>
        </w:pBdr>
        <w:rPr>
          <w:b/>
        </w:rPr>
      </w:pPr>
      <w:r w:rsidRPr="00FC2D77">
        <w:rPr>
          <w:b/>
        </w:rPr>
        <w:t>121_2024 - Décisions Modificatives n°1</w:t>
      </w:r>
    </w:p>
    <w:p w14:paraId="2941C650" w14:textId="77777777" w:rsidR="00850C98" w:rsidRDefault="00850C98" w:rsidP="00217A58">
      <w:pPr>
        <w:pStyle w:val="Sansinterligne"/>
        <w:rPr>
          <w:color w:val="FF0000"/>
        </w:rPr>
      </w:pPr>
    </w:p>
    <w:p w14:paraId="4B5C634C" w14:textId="77777777" w:rsidR="0038738C" w:rsidRDefault="0038738C" w:rsidP="0038738C">
      <w:pPr>
        <w:spacing w:before="240" w:after="240"/>
        <w:rPr>
          <w:rFonts w:ascii="Verdana" w:hAnsi="Verdana" w:cs="Arial"/>
          <w:sz w:val="20"/>
          <w:szCs w:val="20"/>
        </w:rPr>
      </w:pPr>
      <w:r>
        <w:rPr>
          <w:rFonts w:ascii="Verdana" w:hAnsi="Verdana" w:cs="Arial"/>
          <w:color w:val="000000"/>
          <w:sz w:val="20"/>
          <w:szCs w:val="20"/>
        </w:rPr>
        <w:t>M. Tellier explique que nous avons un reliquat de taxe d'aménagent à reverser à l'intercommunalité qui s'élève à 8 886.65 €.</w:t>
      </w:r>
    </w:p>
    <w:p w14:paraId="325A3726" w14:textId="77777777" w:rsidR="0038738C" w:rsidRDefault="0038738C" w:rsidP="0038738C">
      <w:pPr>
        <w:spacing w:before="240" w:after="240"/>
        <w:rPr>
          <w:rFonts w:ascii="Verdana" w:hAnsi="Verdana" w:cs="Arial"/>
          <w:sz w:val="20"/>
          <w:szCs w:val="20"/>
        </w:rPr>
      </w:pPr>
      <w:r>
        <w:rPr>
          <w:rFonts w:ascii="Verdana" w:hAnsi="Verdana" w:cs="Arial"/>
          <w:color w:val="000000"/>
          <w:sz w:val="20"/>
          <w:szCs w:val="20"/>
        </w:rPr>
        <w:lastRenderedPageBreak/>
        <w:t>Il reste sur cette article 5855.16 €, nous avons donc 3031.16 € à apporter sur cette ligne comptable.</w:t>
      </w:r>
    </w:p>
    <w:p w14:paraId="4FC04F9E" w14:textId="77777777" w:rsidR="00850C98" w:rsidRDefault="00850C98" w:rsidP="00217A58">
      <w:pPr>
        <w:pStyle w:val="Sansinterligne"/>
        <w:rPr>
          <w:color w:val="FF0000"/>
        </w:rPr>
      </w:pPr>
    </w:p>
    <w:p w14:paraId="1FBB396A" w14:textId="77777777" w:rsidR="00FC2D77" w:rsidRPr="00447E28" w:rsidRDefault="00FC2D77" w:rsidP="00217A58">
      <w:pPr>
        <w:pStyle w:val="Sansinterligne"/>
      </w:pPr>
      <w:r>
        <w:rPr>
          <w:b/>
          <w:bCs/>
          <w:color w:val="000000"/>
          <w:sz w:val="24"/>
          <w:szCs w:val="24"/>
        </w:rPr>
        <w:t>20 voix pour</w:t>
      </w:r>
    </w:p>
    <w:p w14:paraId="6C966941" w14:textId="77777777" w:rsidR="00FC2D77" w:rsidRPr="00FC2D77" w:rsidRDefault="00FC2D77" w:rsidP="00217A58">
      <w:pPr>
        <w:pStyle w:val="Sansinterligne"/>
        <w:rPr>
          <w:b/>
        </w:rPr>
      </w:pPr>
    </w:p>
    <w:p w14:paraId="6150C2F8" w14:textId="77777777" w:rsidR="00217A58" w:rsidRPr="00FC2D77" w:rsidRDefault="00217A58" w:rsidP="00A91967">
      <w:pPr>
        <w:pStyle w:val="Sansinterligne"/>
        <w:pBdr>
          <w:top w:val="single" w:sz="4" w:space="1" w:color="auto"/>
          <w:left w:val="single" w:sz="4" w:space="4" w:color="auto"/>
          <w:bottom w:val="single" w:sz="4" w:space="1" w:color="auto"/>
          <w:right w:val="single" w:sz="4" w:space="4" w:color="auto"/>
        </w:pBdr>
        <w:rPr>
          <w:b/>
        </w:rPr>
      </w:pPr>
      <w:r w:rsidRPr="00FC2D77">
        <w:rPr>
          <w:b/>
        </w:rPr>
        <w:t>122_2024 - MMD54 : groupement de commande travaux de chaussées</w:t>
      </w:r>
    </w:p>
    <w:p w14:paraId="725494B5" w14:textId="77777777" w:rsidR="00850C98" w:rsidRDefault="00850C98" w:rsidP="00217A58">
      <w:pPr>
        <w:pStyle w:val="Sansinterligne"/>
        <w:rPr>
          <w:color w:val="FF0000"/>
        </w:rPr>
      </w:pPr>
    </w:p>
    <w:p w14:paraId="08ECF137" w14:textId="292C2267" w:rsidR="0038738C" w:rsidRDefault="0038738C" w:rsidP="0038738C">
      <w:pPr>
        <w:spacing w:after="0"/>
        <w:jc w:val="both"/>
        <w:rPr>
          <w:rFonts w:ascii="Verdana" w:hAnsi="Verdana" w:cs="Arial"/>
          <w:color w:val="000000"/>
          <w:sz w:val="20"/>
          <w:szCs w:val="20"/>
        </w:rPr>
      </w:pPr>
      <w:r>
        <w:rPr>
          <w:rFonts w:ascii="Verdana" w:hAnsi="Verdana" w:cs="Arial"/>
          <w:color w:val="000000"/>
          <w:sz w:val="20"/>
          <w:szCs w:val="20"/>
        </w:rPr>
        <w:t>Après avoir pris connaissance du renouvellement de la prestation d'adhésion au groupement de commande de travaux de voirie proposée par MMD54 en partenariat avec le département,</w:t>
      </w:r>
    </w:p>
    <w:p w14:paraId="2A1EBE59" w14:textId="77777777" w:rsidR="006B4C85" w:rsidRDefault="006B4C85" w:rsidP="0038738C">
      <w:pPr>
        <w:spacing w:after="0"/>
        <w:jc w:val="both"/>
        <w:rPr>
          <w:rFonts w:ascii="Verdana" w:hAnsi="Verdana" w:cs="Arial"/>
          <w:sz w:val="20"/>
          <w:szCs w:val="20"/>
        </w:rPr>
      </w:pPr>
    </w:p>
    <w:p w14:paraId="04EE8BCC" w14:textId="77777777" w:rsidR="0038738C" w:rsidRDefault="0038738C" w:rsidP="0038738C">
      <w:pPr>
        <w:spacing w:after="0"/>
        <w:jc w:val="both"/>
        <w:rPr>
          <w:rFonts w:ascii="Verdana" w:hAnsi="Verdana" w:cs="Arial"/>
          <w:sz w:val="20"/>
          <w:szCs w:val="20"/>
        </w:rPr>
      </w:pPr>
      <w:r>
        <w:rPr>
          <w:rFonts w:ascii="Verdana" w:hAnsi="Verdana" w:cs="Arial"/>
          <w:color w:val="000000"/>
          <w:sz w:val="20"/>
          <w:szCs w:val="20"/>
        </w:rPr>
        <w:t>Après en avoir délibéré, le conseil municipal décide :</w:t>
      </w:r>
    </w:p>
    <w:p w14:paraId="4E75C928" w14:textId="77777777" w:rsidR="0038738C" w:rsidRDefault="0038738C" w:rsidP="0038738C">
      <w:pPr>
        <w:numPr>
          <w:ilvl w:val="0"/>
          <w:numId w:val="7"/>
        </w:numPr>
        <w:spacing w:after="0" w:line="240" w:lineRule="auto"/>
        <w:jc w:val="both"/>
        <w:rPr>
          <w:rFonts w:ascii="Verdana" w:hAnsi="Verdana" w:cs="Arial"/>
          <w:sz w:val="20"/>
          <w:szCs w:val="20"/>
        </w:rPr>
      </w:pPr>
      <w:r>
        <w:rPr>
          <w:rFonts w:ascii="Verdana" w:hAnsi="Verdana" w:cs="Arial"/>
          <w:color w:val="000000"/>
          <w:sz w:val="20"/>
          <w:szCs w:val="20"/>
        </w:rPr>
        <w:t>De recourir à cette prestation pour un coût de 110 € HT (132 € TTC)</w:t>
      </w:r>
    </w:p>
    <w:p w14:paraId="17B2D847" w14:textId="77777777" w:rsidR="0038738C" w:rsidRDefault="0038738C" w:rsidP="0038738C">
      <w:pPr>
        <w:numPr>
          <w:ilvl w:val="0"/>
          <w:numId w:val="7"/>
        </w:numPr>
        <w:spacing w:after="0" w:line="240" w:lineRule="auto"/>
        <w:jc w:val="both"/>
        <w:rPr>
          <w:rFonts w:ascii="Verdana" w:hAnsi="Verdana" w:cs="Arial"/>
          <w:sz w:val="20"/>
          <w:szCs w:val="20"/>
        </w:rPr>
      </w:pPr>
      <w:r>
        <w:rPr>
          <w:rFonts w:ascii="Verdana" w:hAnsi="Verdana" w:cs="Arial"/>
          <w:color w:val="000000"/>
          <w:sz w:val="20"/>
          <w:szCs w:val="20"/>
        </w:rPr>
        <w:t>D’autoriser le maire à signer la convention de groupement de commande avec le Département de Meurthe et Moselle</w:t>
      </w:r>
    </w:p>
    <w:p w14:paraId="0F139F71" w14:textId="77777777" w:rsidR="00850C98" w:rsidRDefault="00850C98" w:rsidP="0038738C">
      <w:pPr>
        <w:pStyle w:val="Sansinterligne"/>
        <w:rPr>
          <w:color w:val="FF0000"/>
        </w:rPr>
      </w:pPr>
    </w:p>
    <w:p w14:paraId="7ED866A6" w14:textId="77777777" w:rsidR="00FC2D77" w:rsidRPr="00447E28" w:rsidRDefault="00FC2D77" w:rsidP="00217A58">
      <w:pPr>
        <w:pStyle w:val="Sansinterligne"/>
      </w:pPr>
      <w:r>
        <w:rPr>
          <w:b/>
          <w:bCs/>
          <w:color w:val="000000"/>
          <w:sz w:val="24"/>
          <w:szCs w:val="24"/>
        </w:rPr>
        <w:t>20 voix pour</w:t>
      </w:r>
    </w:p>
    <w:p w14:paraId="4EE6DBC6" w14:textId="77777777" w:rsidR="00FC2D77" w:rsidRPr="00FC2D77" w:rsidRDefault="00FC2D77" w:rsidP="00217A58">
      <w:pPr>
        <w:pStyle w:val="Sansinterligne"/>
        <w:rPr>
          <w:b/>
        </w:rPr>
      </w:pPr>
    </w:p>
    <w:p w14:paraId="098A234F" w14:textId="77777777" w:rsidR="00217A58" w:rsidRPr="00FC2D77" w:rsidRDefault="00217A58" w:rsidP="00A91967">
      <w:pPr>
        <w:pStyle w:val="Sansinterligne"/>
        <w:pBdr>
          <w:top w:val="single" w:sz="4" w:space="1" w:color="auto"/>
          <w:left w:val="single" w:sz="4" w:space="4" w:color="auto"/>
          <w:bottom w:val="single" w:sz="4" w:space="1" w:color="auto"/>
          <w:right w:val="single" w:sz="4" w:space="4" w:color="auto"/>
        </w:pBdr>
        <w:rPr>
          <w:b/>
        </w:rPr>
      </w:pPr>
      <w:r w:rsidRPr="00FC2D77">
        <w:rPr>
          <w:b/>
        </w:rPr>
        <w:t xml:space="preserve">123_2024 - SPL </w:t>
      </w:r>
      <w:proofErr w:type="spellStart"/>
      <w:r w:rsidRPr="00FC2D77">
        <w:rPr>
          <w:b/>
        </w:rPr>
        <w:t>Xdemat</w:t>
      </w:r>
      <w:proofErr w:type="spellEnd"/>
      <w:r w:rsidRPr="00FC2D77">
        <w:rPr>
          <w:b/>
        </w:rPr>
        <w:t xml:space="preserve"> : Réunion de l’Assemblée générale sur la répartition du capital social</w:t>
      </w:r>
    </w:p>
    <w:p w14:paraId="13794227" w14:textId="77777777" w:rsidR="00850C98" w:rsidRDefault="00850C98" w:rsidP="00217A58">
      <w:pPr>
        <w:pStyle w:val="Sansinterligne"/>
        <w:rPr>
          <w:color w:val="FF0000"/>
        </w:rPr>
      </w:pPr>
    </w:p>
    <w:p w14:paraId="6F7E3A06" w14:textId="77777777" w:rsidR="0038738C" w:rsidRDefault="0038738C" w:rsidP="0038738C">
      <w:pPr>
        <w:spacing w:after="0"/>
        <w:ind w:left="142" w:firstLine="992"/>
        <w:jc w:val="both"/>
        <w:textAlignment w:val="top"/>
        <w:rPr>
          <w:rFonts w:ascii="Verdana" w:hAnsi="Verdana" w:cs="Arial"/>
          <w:sz w:val="20"/>
          <w:szCs w:val="20"/>
        </w:rPr>
      </w:pPr>
      <w:r>
        <w:rPr>
          <w:rFonts w:ascii="Verdana" w:hAnsi="Verdana" w:cs="Arial"/>
          <w:color w:val="000000"/>
          <w:sz w:val="20"/>
          <w:szCs w:val="20"/>
        </w:rPr>
        <w:t>Après discussion, le Conseil Municipal décide à l’unanimité :</w:t>
      </w:r>
    </w:p>
    <w:p w14:paraId="000B9B6C" w14:textId="0F33DB6C" w:rsidR="0038738C" w:rsidRDefault="0038738C" w:rsidP="0038738C">
      <w:pPr>
        <w:spacing w:after="0"/>
        <w:ind w:left="142" w:firstLine="992"/>
        <w:jc w:val="both"/>
        <w:textAlignment w:val="top"/>
        <w:rPr>
          <w:rFonts w:ascii="Verdana" w:hAnsi="Verdana" w:cs="Arial"/>
          <w:sz w:val="20"/>
          <w:szCs w:val="20"/>
        </w:rPr>
      </w:pPr>
      <w:r>
        <w:rPr>
          <w:rFonts w:ascii="Verdana" w:hAnsi="Verdana" w:cs="Arial"/>
          <w:color w:val="000000"/>
          <w:sz w:val="20"/>
          <w:szCs w:val="20"/>
        </w:rPr>
        <w:t> - approuver la nouvelle répartition du capital social de la société publique locale dénommée SPL-</w:t>
      </w:r>
      <w:proofErr w:type="spellStart"/>
      <w:r>
        <w:rPr>
          <w:rFonts w:ascii="Verdana" w:hAnsi="Verdana" w:cs="Arial"/>
          <w:color w:val="000000"/>
          <w:sz w:val="20"/>
          <w:szCs w:val="20"/>
        </w:rPr>
        <w:t>Xdemat</w:t>
      </w:r>
      <w:proofErr w:type="spellEnd"/>
      <w:r>
        <w:rPr>
          <w:rFonts w:ascii="Verdana" w:hAnsi="Verdana" w:cs="Arial"/>
          <w:color w:val="000000"/>
          <w:sz w:val="20"/>
          <w:szCs w:val="20"/>
        </w:rPr>
        <w:t>, divisé en 12 838 actions, telle que figurant dans la liste des actionnaires annexée à la présente et faisant apparaître la ventilation territoriale suivante :</w:t>
      </w:r>
    </w:p>
    <w:p w14:paraId="7D1A0C29" w14:textId="53757DFF" w:rsidR="0038738C" w:rsidRDefault="0038738C" w:rsidP="0038738C">
      <w:pPr>
        <w:spacing w:after="0"/>
        <w:ind w:left="142" w:firstLine="992"/>
        <w:jc w:val="both"/>
        <w:textAlignment w:val="top"/>
        <w:rPr>
          <w:rFonts w:ascii="Verdana" w:hAnsi="Verdana" w:cs="Arial"/>
          <w:sz w:val="20"/>
          <w:szCs w:val="20"/>
        </w:rPr>
      </w:pPr>
      <w:r>
        <w:rPr>
          <w:rFonts w:ascii="Verdana" w:hAnsi="Verdana" w:cs="Arial"/>
          <w:color w:val="000000"/>
          <w:sz w:val="20"/>
          <w:szCs w:val="20"/>
        </w:rPr>
        <w:t> - le Département de l’Aube : 6 557 actions soit 51,08 % du capital social,</w:t>
      </w:r>
    </w:p>
    <w:p w14:paraId="6B516CA4" w14:textId="77777777" w:rsidR="0038738C" w:rsidRDefault="0038738C" w:rsidP="0038738C">
      <w:pPr>
        <w:spacing w:after="0"/>
        <w:ind w:left="1877" w:hanging="142"/>
        <w:jc w:val="both"/>
        <w:textAlignment w:val="top"/>
        <w:rPr>
          <w:rFonts w:ascii="Verdana" w:hAnsi="Verdana" w:cs="Arial"/>
          <w:sz w:val="20"/>
          <w:szCs w:val="20"/>
        </w:rPr>
      </w:pPr>
      <w:r>
        <w:rPr>
          <w:rFonts w:ascii="Verdana" w:hAnsi="Verdana" w:cs="Arial"/>
          <w:color w:val="000000"/>
          <w:sz w:val="20"/>
          <w:szCs w:val="20"/>
        </w:rPr>
        <w:t>- le Département de l’Aisne : 659 actions soit 5,13 % du capital social,</w:t>
      </w:r>
    </w:p>
    <w:p w14:paraId="2DC1B136" w14:textId="77777777" w:rsidR="0038738C" w:rsidRDefault="0038738C" w:rsidP="0038738C">
      <w:pPr>
        <w:spacing w:after="0"/>
        <w:ind w:left="1877" w:hanging="142"/>
        <w:jc w:val="both"/>
        <w:textAlignment w:val="top"/>
        <w:rPr>
          <w:rFonts w:ascii="Verdana" w:hAnsi="Verdana" w:cs="Arial"/>
          <w:sz w:val="20"/>
          <w:szCs w:val="20"/>
        </w:rPr>
      </w:pPr>
      <w:r>
        <w:rPr>
          <w:rFonts w:ascii="Verdana" w:hAnsi="Verdana" w:cs="Arial"/>
          <w:color w:val="000000"/>
          <w:sz w:val="20"/>
          <w:szCs w:val="20"/>
        </w:rPr>
        <w:t>- le Département des Ardennes : 272 actions soit 2,12 % du capital social,</w:t>
      </w:r>
    </w:p>
    <w:p w14:paraId="7AB8322A" w14:textId="77777777" w:rsidR="0038738C" w:rsidRDefault="0038738C" w:rsidP="0038738C">
      <w:pPr>
        <w:spacing w:after="0"/>
        <w:ind w:left="1877" w:hanging="142"/>
        <w:jc w:val="both"/>
        <w:textAlignment w:val="top"/>
        <w:rPr>
          <w:rFonts w:ascii="Verdana" w:hAnsi="Verdana" w:cs="Arial"/>
          <w:sz w:val="20"/>
          <w:szCs w:val="20"/>
        </w:rPr>
      </w:pPr>
      <w:r>
        <w:rPr>
          <w:rFonts w:ascii="Verdana" w:hAnsi="Verdana" w:cs="Arial"/>
          <w:color w:val="000000"/>
          <w:sz w:val="20"/>
          <w:szCs w:val="20"/>
        </w:rPr>
        <w:t>- le Département de la Marne : 559 actions soit 4,35 % du capital social,</w:t>
      </w:r>
    </w:p>
    <w:p w14:paraId="07697564" w14:textId="77777777" w:rsidR="0038738C" w:rsidRDefault="0038738C" w:rsidP="0038738C">
      <w:pPr>
        <w:spacing w:after="0"/>
        <w:ind w:left="1877" w:hanging="142"/>
        <w:jc w:val="both"/>
        <w:textAlignment w:val="top"/>
        <w:rPr>
          <w:rFonts w:ascii="Verdana" w:hAnsi="Verdana" w:cs="Arial"/>
          <w:sz w:val="20"/>
          <w:szCs w:val="20"/>
        </w:rPr>
      </w:pPr>
      <w:r>
        <w:rPr>
          <w:rFonts w:ascii="Verdana" w:hAnsi="Verdana" w:cs="Arial"/>
          <w:color w:val="000000"/>
          <w:sz w:val="20"/>
          <w:szCs w:val="20"/>
        </w:rPr>
        <w:t>- le Département de la Haute-Marne : 267 actions soit 2,08 % du capital social,</w:t>
      </w:r>
    </w:p>
    <w:p w14:paraId="73C921D1" w14:textId="77777777" w:rsidR="0038738C" w:rsidRDefault="0038738C" w:rsidP="0038738C">
      <w:pPr>
        <w:spacing w:after="0"/>
        <w:ind w:left="1877" w:hanging="142"/>
        <w:jc w:val="both"/>
        <w:textAlignment w:val="top"/>
        <w:rPr>
          <w:rFonts w:ascii="Verdana" w:hAnsi="Verdana" w:cs="Arial"/>
          <w:sz w:val="20"/>
          <w:szCs w:val="20"/>
        </w:rPr>
      </w:pPr>
      <w:r>
        <w:rPr>
          <w:rFonts w:ascii="Verdana" w:hAnsi="Verdana" w:cs="Arial"/>
          <w:color w:val="000000"/>
          <w:sz w:val="20"/>
          <w:szCs w:val="20"/>
        </w:rPr>
        <w:t>- le Département de Meurthe-et-Moselle : 322 actions soit 2,51 % du capital social,</w:t>
      </w:r>
    </w:p>
    <w:p w14:paraId="06233A60" w14:textId="77777777" w:rsidR="0038738C" w:rsidRDefault="0038738C" w:rsidP="0038738C">
      <w:pPr>
        <w:spacing w:after="0"/>
        <w:ind w:left="1877" w:hanging="142"/>
        <w:jc w:val="both"/>
        <w:textAlignment w:val="top"/>
        <w:rPr>
          <w:rFonts w:ascii="Verdana" w:hAnsi="Verdana" w:cs="Arial"/>
          <w:sz w:val="20"/>
          <w:szCs w:val="20"/>
        </w:rPr>
      </w:pPr>
      <w:r>
        <w:rPr>
          <w:rFonts w:ascii="Verdana" w:hAnsi="Verdana" w:cs="Arial"/>
          <w:color w:val="000000"/>
          <w:sz w:val="20"/>
          <w:szCs w:val="20"/>
        </w:rPr>
        <w:t>- le Département de la Meuse : 505 actions soit 3,93 % du capital social</w:t>
      </w:r>
    </w:p>
    <w:p w14:paraId="10833AA3" w14:textId="77777777" w:rsidR="0038738C" w:rsidRDefault="0038738C" w:rsidP="0038738C">
      <w:pPr>
        <w:spacing w:after="0"/>
        <w:ind w:left="1877" w:hanging="142"/>
        <w:jc w:val="both"/>
        <w:textAlignment w:val="top"/>
        <w:rPr>
          <w:rFonts w:ascii="Verdana" w:hAnsi="Verdana" w:cs="Arial"/>
          <w:sz w:val="20"/>
          <w:szCs w:val="20"/>
        </w:rPr>
      </w:pPr>
      <w:r>
        <w:rPr>
          <w:rFonts w:ascii="Verdana" w:hAnsi="Verdana" w:cs="Arial"/>
          <w:color w:val="000000"/>
          <w:sz w:val="20"/>
          <w:szCs w:val="20"/>
        </w:rPr>
        <w:t>- le Département des Vosges : 356 actions soit 2,77 % du capital social,</w:t>
      </w:r>
    </w:p>
    <w:p w14:paraId="156D36D1" w14:textId="77777777" w:rsidR="0038738C" w:rsidRDefault="0038738C" w:rsidP="0038738C">
      <w:pPr>
        <w:spacing w:after="0"/>
        <w:ind w:left="1877" w:hanging="142"/>
        <w:jc w:val="both"/>
        <w:textAlignment w:val="top"/>
        <w:rPr>
          <w:rFonts w:ascii="Verdana" w:hAnsi="Verdana" w:cs="Arial"/>
          <w:sz w:val="20"/>
          <w:szCs w:val="20"/>
        </w:rPr>
      </w:pPr>
      <w:r>
        <w:rPr>
          <w:rFonts w:ascii="Verdana" w:hAnsi="Verdana" w:cs="Arial"/>
          <w:color w:val="000000"/>
          <w:sz w:val="20"/>
          <w:szCs w:val="20"/>
        </w:rPr>
        <w:t>- les communes et groupements de communes : 3 341 actions soit 26,03 % du capital social, détenues par 3 274 actionnaires ;</w:t>
      </w:r>
    </w:p>
    <w:p w14:paraId="19DC9ADD" w14:textId="77777777" w:rsidR="0038738C" w:rsidRDefault="0038738C" w:rsidP="0038738C">
      <w:pPr>
        <w:spacing w:after="0"/>
        <w:ind w:left="142" w:firstLine="992"/>
        <w:jc w:val="both"/>
        <w:textAlignment w:val="top"/>
        <w:rPr>
          <w:rFonts w:ascii="Verdana" w:hAnsi="Verdana" w:cs="Arial"/>
          <w:sz w:val="20"/>
          <w:szCs w:val="20"/>
        </w:rPr>
      </w:pPr>
      <w:r>
        <w:rPr>
          <w:rFonts w:ascii="Verdana" w:hAnsi="Verdana" w:cs="Arial"/>
          <w:color w:val="000000"/>
          <w:sz w:val="20"/>
          <w:szCs w:val="20"/>
        </w:rPr>
        <w:t> </w:t>
      </w:r>
    </w:p>
    <w:p w14:paraId="3F2DC6D5" w14:textId="77777777" w:rsidR="0038738C" w:rsidRDefault="0038738C" w:rsidP="0038738C">
      <w:pPr>
        <w:spacing w:after="0"/>
        <w:ind w:left="142" w:firstLine="992"/>
        <w:jc w:val="both"/>
        <w:textAlignment w:val="top"/>
        <w:rPr>
          <w:rFonts w:ascii="Verdana" w:hAnsi="Verdana" w:cs="Arial"/>
          <w:sz w:val="20"/>
          <w:szCs w:val="20"/>
        </w:rPr>
      </w:pPr>
      <w:r>
        <w:rPr>
          <w:rFonts w:ascii="Verdana" w:hAnsi="Verdana" w:cs="Arial"/>
          <w:color w:val="000000"/>
          <w:sz w:val="20"/>
          <w:szCs w:val="20"/>
        </w:rPr>
        <w:t>- donner pouvoir au représentant de la commune de Trieux à l’Assemblée générale de la société SPL-</w:t>
      </w:r>
      <w:proofErr w:type="spellStart"/>
      <w:r>
        <w:rPr>
          <w:rFonts w:ascii="Verdana" w:hAnsi="Verdana" w:cs="Arial"/>
          <w:color w:val="000000"/>
          <w:sz w:val="20"/>
          <w:szCs w:val="20"/>
        </w:rPr>
        <w:t>Xdemat</w:t>
      </w:r>
      <w:proofErr w:type="spellEnd"/>
      <w:r>
        <w:rPr>
          <w:rFonts w:ascii="Verdana" w:hAnsi="Verdana" w:cs="Arial"/>
          <w:color w:val="000000"/>
          <w:sz w:val="20"/>
          <w:szCs w:val="20"/>
        </w:rPr>
        <w:t>, pour voter cette nouvelle répartition de son capital social et la résolution en découlant, lors de sa prochaine réunion.</w:t>
      </w:r>
    </w:p>
    <w:p w14:paraId="404D52C9" w14:textId="5A31BC35" w:rsidR="00850C98" w:rsidRDefault="0038738C" w:rsidP="0038738C">
      <w:pPr>
        <w:pStyle w:val="Sansinterligne"/>
        <w:rPr>
          <w:color w:val="FF0000"/>
        </w:rPr>
      </w:pPr>
      <w:r>
        <w:rPr>
          <w:rFonts w:ascii="Verdana" w:hAnsi="Verdana" w:cs="Arial"/>
          <w:color w:val="000000"/>
          <w:sz w:val="20"/>
          <w:szCs w:val="20"/>
        </w:rPr>
        <w:t> </w:t>
      </w:r>
    </w:p>
    <w:p w14:paraId="716DBC1D" w14:textId="77777777" w:rsidR="00FC2D77" w:rsidRPr="00447E28" w:rsidRDefault="00FC2D77" w:rsidP="00217A58">
      <w:pPr>
        <w:pStyle w:val="Sansinterligne"/>
      </w:pPr>
      <w:r>
        <w:rPr>
          <w:b/>
          <w:bCs/>
          <w:color w:val="000000"/>
          <w:sz w:val="24"/>
          <w:szCs w:val="24"/>
        </w:rPr>
        <w:t>20 voix pour</w:t>
      </w:r>
    </w:p>
    <w:p w14:paraId="19D68F3C" w14:textId="77777777" w:rsidR="00FC2D77" w:rsidRPr="00FC2D77" w:rsidRDefault="00FC2D77" w:rsidP="00217A58">
      <w:pPr>
        <w:pStyle w:val="Sansinterligne"/>
        <w:rPr>
          <w:b/>
        </w:rPr>
      </w:pPr>
    </w:p>
    <w:p w14:paraId="5741BD73" w14:textId="77777777" w:rsidR="00217A58" w:rsidRPr="00FC2D77" w:rsidRDefault="00217A58" w:rsidP="00A91967">
      <w:pPr>
        <w:pStyle w:val="Sansinterligne"/>
        <w:pBdr>
          <w:top w:val="single" w:sz="4" w:space="1" w:color="auto"/>
          <w:left w:val="single" w:sz="4" w:space="4" w:color="auto"/>
          <w:bottom w:val="single" w:sz="4" w:space="1" w:color="auto"/>
          <w:right w:val="single" w:sz="4" w:space="4" w:color="auto"/>
        </w:pBdr>
        <w:rPr>
          <w:b/>
        </w:rPr>
      </w:pPr>
      <w:r w:rsidRPr="00FC2D77">
        <w:rPr>
          <w:b/>
        </w:rPr>
        <w:t>124_2024 - Mutuelle Familiale</w:t>
      </w:r>
    </w:p>
    <w:p w14:paraId="100DB7A7" w14:textId="77777777" w:rsidR="00850C98" w:rsidRDefault="00850C98" w:rsidP="006B4C85">
      <w:pPr>
        <w:pStyle w:val="Sansinterligne"/>
        <w:jc w:val="both"/>
        <w:rPr>
          <w:color w:val="FF0000"/>
        </w:rPr>
      </w:pPr>
    </w:p>
    <w:p w14:paraId="2377C9BF" w14:textId="77777777" w:rsidR="0038738C" w:rsidRDefault="0038738C" w:rsidP="006B4C85">
      <w:pPr>
        <w:spacing w:after="0" w:line="240" w:lineRule="auto"/>
        <w:jc w:val="both"/>
        <w:rPr>
          <w:rFonts w:ascii="Verdana" w:hAnsi="Verdana" w:cs="Arial"/>
          <w:color w:val="000000"/>
          <w:sz w:val="20"/>
          <w:szCs w:val="20"/>
        </w:rPr>
      </w:pPr>
      <w:r>
        <w:rPr>
          <w:rFonts w:ascii="Verdana" w:hAnsi="Verdana" w:cs="Arial"/>
          <w:color w:val="000000"/>
          <w:sz w:val="20"/>
          <w:szCs w:val="20"/>
        </w:rPr>
        <w:t>M. Le Maire propose au conseil municipal de voter la convention avec la mutuelle familiale afin que tous les administrés de Trieux puissent souscrire à la mutuelle familiale à un tarif avantageux.</w:t>
      </w:r>
    </w:p>
    <w:p w14:paraId="4BDC8BC7" w14:textId="76DCD436" w:rsidR="000038F4" w:rsidRPr="000038F4" w:rsidRDefault="000038F4" w:rsidP="000038F4">
      <w:pPr>
        <w:spacing w:after="0" w:line="240" w:lineRule="auto"/>
        <w:jc w:val="both"/>
        <w:rPr>
          <w:rFonts w:ascii="Verdana" w:hAnsi="Verdana" w:cs="Arial"/>
          <w:color w:val="000000"/>
          <w:sz w:val="20"/>
          <w:szCs w:val="20"/>
        </w:rPr>
      </w:pPr>
      <w:r>
        <w:rPr>
          <w:rFonts w:ascii="Verdana" w:hAnsi="Verdana" w:cs="Arial"/>
          <w:color w:val="000000"/>
          <w:sz w:val="20"/>
          <w:szCs w:val="20"/>
        </w:rPr>
        <w:lastRenderedPageBreak/>
        <w:t>Il explique que c’</w:t>
      </w:r>
      <w:r w:rsidRPr="000038F4">
        <w:rPr>
          <w:rFonts w:ascii="Verdana" w:hAnsi="Verdana" w:cs="Arial"/>
          <w:color w:val="000000"/>
          <w:sz w:val="20"/>
          <w:szCs w:val="20"/>
        </w:rPr>
        <w:t>est une mutuelle à but non lucratif, issue de l'ancienne mutuelle de la mine.</w:t>
      </w:r>
    </w:p>
    <w:p w14:paraId="2A79A4A1" w14:textId="77777777" w:rsidR="000038F4" w:rsidRPr="000038F4" w:rsidRDefault="000038F4" w:rsidP="000038F4">
      <w:pPr>
        <w:spacing w:after="0" w:line="240" w:lineRule="auto"/>
        <w:jc w:val="both"/>
        <w:rPr>
          <w:rFonts w:ascii="Verdana" w:hAnsi="Verdana" w:cs="Arial"/>
          <w:color w:val="000000"/>
          <w:sz w:val="20"/>
          <w:szCs w:val="20"/>
        </w:rPr>
      </w:pPr>
    </w:p>
    <w:p w14:paraId="50BC382F" w14:textId="3C884ECB" w:rsidR="000038F4" w:rsidRPr="000038F4" w:rsidRDefault="000038F4" w:rsidP="000038F4">
      <w:pPr>
        <w:spacing w:after="0" w:line="240" w:lineRule="auto"/>
        <w:jc w:val="both"/>
        <w:rPr>
          <w:rFonts w:ascii="Verdana" w:hAnsi="Verdana" w:cs="Arial"/>
          <w:color w:val="000000"/>
          <w:sz w:val="20"/>
          <w:szCs w:val="20"/>
        </w:rPr>
      </w:pPr>
      <w:r w:rsidRPr="000038F4">
        <w:rPr>
          <w:rFonts w:ascii="Verdana" w:hAnsi="Verdana" w:cs="Arial"/>
          <w:color w:val="000000"/>
          <w:sz w:val="20"/>
          <w:szCs w:val="20"/>
        </w:rPr>
        <w:t>La Mutuelle Familiale,</w:t>
      </w:r>
      <w:r>
        <w:rPr>
          <w:rFonts w:ascii="Verdana" w:hAnsi="Verdana" w:cs="Arial"/>
          <w:color w:val="000000"/>
          <w:sz w:val="20"/>
          <w:szCs w:val="20"/>
        </w:rPr>
        <w:t xml:space="preserve"> p</w:t>
      </w:r>
      <w:r w:rsidRPr="000038F4">
        <w:rPr>
          <w:rFonts w:ascii="Verdana" w:hAnsi="Verdana" w:cs="Arial"/>
          <w:color w:val="000000"/>
          <w:sz w:val="20"/>
          <w:szCs w:val="20"/>
        </w:rPr>
        <w:t>ropose des solutions de santé accessibles financièrement.</w:t>
      </w:r>
    </w:p>
    <w:p w14:paraId="5FC44993" w14:textId="5269E68B" w:rsidR="000038F4" w:rsidRPr="000038F4" w:rsidRDefault="00D475C6" w:rsidP="000038F4">
      <w:pPr>
        <w:spacing w:after="0" w:line="240" w:lineRule="auto"/>
        <w:jc w:val="both"/>
        <w:rPr>
          <w:rFonts w:ascii="Verdana" w:hAnsi="Verdana" w:cs="Arial"/>
          <w:color w:val="000000"/>
          <w:sz w:val="20"/>
          <w:szCs w:val="20"/>
        </w:rPr>
      </w:pPr>
      <w:r>
        <w:rPr>
          <w:rFonts w:ascii="Verdana" w:hAnsi="Verdana" w:cs="Arial"/>
          <w:color w:val="000000"/>
          <w:sz w:val="20"/>
          <w:szCs w:val="20"/>
        </w:rPr>
        <w:t>Elle s</w:t>
      </w:r>
      <w:r w:rsidR="000038F4" w:rsidRPr="000038F4">
        <w:rPr>
          <w:rFonts w:ascii="Verdana" w:hAnsi="Verdana" w:cs="Arial"/>
          <w:color w:val="000000"/>
          <w:sz w:val="20"/>
          <w:szCs w:val="20"/>
        </w:rPr>
        <w:t>out</w:t>
      </w:r>
      <w:r w:rsidR="000038F4">
        <w:rPr>
          <w:rFonts w:ascii="Verdana" w:hAnsi="Verdana" w:cs="Arial"/>
          <w:color w:val="000000"/>
          <w:sz w:val="20"/>
          <w:szCs w:val="20"/>
        </w:rPr>
        <w:t>ient</w:t>
      </w:r>
      <w:r w:rsidR="000038F4" w:rsidRPr="000038F4">
        <w:rPr>
          <w:rFonts w:ascii="Verdana" w:hAnsi="Verdana" w:cs="Arial"/>
          <w:color w:val="000000"/>
          <w:sz w:val="20"/>
          <w:szCs w:val="20"/>
        </w:rPr>
        <w:t xml:space="preserve"> les personnes vulnérables, notamment les seniors et ceux qui ne peuvent pas assumer seuls le coût d'une mutuelle.</w:t>
      </w:r>
    </w:p>
    <w:p w14:paraId="084778D4" w14:textId="1F65EEF6" w:rsidR="000038F4" w:rsidRDefault="000038F4" w:rsidP="000038F4">
      <w:pPr>
        <w:spacing w:after="0" w:line="240" w:lineRule="auto"/>
        <w:jc w:val="both"/>
        <w:rPr>
          <w:rFonts w:ascii="Verdana" w:hAnsi="Verdana" w:cs="Arial"/>
          <w:color w:val="000000"/>
          <w:sz w:val="20"/>
          <w:szCs w:val="20"/>
        </w:rPr>
      </w:pPr>
      <w:r>
        <w:rPr>
          <w:rFonts w:ascii="Verdana" w:hAnsi="Verdana" w:cs="Arial"/>
          <w:color w:val="000000"/>
          <w:sz w:val="20"/>
          <w:szCs w:val="20"/>
        </w:rPr>
        <w:t>Elle f</w:t>
      </w:r>
      <w:r w:rsidRPr="000038F4">
        <w:rPr>
          <w:rFonts w:ascii="Verdana" w:hAnsi="Verdana" w:cs="Arial"/>
          <w:color w:val="000000"/>
          <w:sz w:val="20"/>
          <w:szCs w:val="20"/>
        </w:rPr>
        <w:t>avorise la cohésion sociale et réduire les inégalités d'accès aux soins.</w:t>
      </w:r>
    </w:p>
    <w:p w14:paraId="75739185" w14:textId="77777777" w:rsidR="00D475C6" w:rsidRPr="000038F4" w:rsidRDefault="00D475C6" w:rsidP="000038F4">
      <w:pPr>
        <w:spacing w:after="0" w:line="240" w:lineRule="auto"/>
        <w:jc w:val="both"/>
        <w:rPr>
          <w:rFonts w:ascii="Verdana" w:hAnsi="Verdana" w:cs="Arial"/>
          <w:color w:val="000000"/>
          <w:sz w:val="20"/>
          <w:szCs w:val="20"/>
        </w:rPr>
      </w:pPr>
    </w:p>
    <w:p w14:paraId="38F30A20" w14:textId="77777777" w:rsidR="000038F4" w:rsidRPr="000038F4" w:rsidRDefault="000038F4" w:rsidP="000038F4">
      <w:pPr>
        <w:spacing w:after="0" w:line="240" w:lineRule="auto"/>
        <w:jc w:val="both"/>
        <w:rPr>
          <w:rFonts w:ascii="Verdana" w:hAnsi="Verdana" w:cs="Arial"/>
          <w:color w:val="000000"/>
          <w:sz w:val="20"/>
          <w:szCs w:val="20"/>
        </w:rPr>
      </w:pPr>
      <w:r w:rsidRPr="000038F4">
        <w:rPr>
          <w:rFonts w:ascii="Verdana" w:hAnsi="Verdana" w:cs="Arial"/>
          <w:color w:val="000000"/>
          <w:sz w:val="20"/>
          <w:szCs w:val="20"/>
        </w:rPr>
        <w:t>Un partenariat avec La Mutuelle Familiale pourrait apporter de nombreux avantages à nos administrés :</w:t>
      </w:r>
    </w:p>
    <w:p w14:paraId="5ED82E70" w14:textId="77777777" w:rsidR="000038F4" w:rsidRPr="000038F4" w:rsidRDefault="000038F4" w:rsidP="000038F4">
      <w:pPr>
        <w:spacing w:after="0" w:line="240" w:lineRule="auto"/>
        <w:jc w:val="both"/>
        <w:rPr>
          <w:rFonts w:ascii="Verdana" w:hAnsi="Verdana" w:cs="Arial"/>
          <w:color w:val="000000"/>
          <w:sz w:val="20"/>
          <w:szCs w:val="20"/>
        </w:rPr>
      </w:pPr>
      <w:r w:rsidRPr="000038F4">
        <w:rPr>
          <w:rFonts w:ascii="Verdana" w:hAnsi="Verdana" w:cs="Arial"/>
          <w:color w:val="000000"/>
          <w:sz w:val="20"/>
          <w:szCs w:val="20"/>
        </w:rPr>
        <w:t>Tarifs Avantageux : La possibilité de bénéficier de tarifs réduits pour les cotisations de la mutuelle, ce qui serait particulièrement bénéfique pour les seniors et les personnes à faibles revenus.</w:t>
      </w:r>
    </w:p>
    <w:p w14:paraId="267A5D19" w14:textId="77777777" w:rsidR="000038F4" w:rsidRPr="000038F4" w:rsidRDefault="000038F4" w:rsidP="000038F4">
      <w:pPr>
        <w:spacing w:after="0" w:line="240" w:lineRule="auto"/>
        <w:jc w:val="both"/>
        <w:rPr>
          <w:rFonts w:ascii="Verdana" w:hAnsi="Verdana" w:cs="Arial"/>
          <w:color w:val="000000"/>
          <w:sz w:val="20"/>
          <w:szCs w:val="20"/>
        </w:rPr>
      </w:pPr>
      <w:r w:rsidRPr="000038F4">
        <w:rPr>
          <w:rFonts w:ascii="Verdana" w:hAnsi="Verdana" w:cs="Arial"/>
          <w:color w:val="000000"/>
          <w:sz w:val="20"/>
          <w:szCs w:val="20"/>
        </w:rPr>
        <w:t>Accessibilité : Faciliter l'accès à des soins de qualité pour tous, en réduisant le coût des frais médicaux non pris en charge par la Sécurité sociale.</w:t>
      </w:r>
    </w:p>
    <w:p w14:paraId="3F525CD4" w14:textId="77777777" w:rsidR="000038F4" w:rsidRDefault="000038F4" w:rsidP="000038F4">
      <w:pPr>
        <w:spacing w:after="0" w:line="240" w:lineRule="auto"/>
        <w:jc w:val="both"/>
        <w:rPr>
          <w:rFonts w:ascii="Verdana" w:hAnsi="Verdana" w:cs="Arial"/>
          <w:color w:val="000000"/>
          <w:sz w:val="20"/>
          <w:szCs w:val="20"/>
        </w:rPr>
      </w:pPr>
      <w:r w:rsidRPr="000038F4">
        <w:rPr>
          <w:rFonts w:ascii="Verdana" w:hAnsi="Verdana" w:cs="Arial"/>
          <w:color w:val="000000"/>
          <w:sz w:val="20"/>
          <w:szCs w:val="20"/>
        </w:rPr>
        <w:t>Cohésion Sociale : Contribuer à la cohésion sociale sur notre territoire en s'assurant que chacun, indépendamment de sa situation financière, puisse bénéficier d'une couverture santé adéquate.</w:t>
      </w:r>
    </w:p>
    <w:p w14:paraId="1362E169" w14:textId="77777777" w:rsidR="00D475C6" w:rsidRPr="000038F4" w:rsidRDefault="00D475C6" w:rsidP="000038F4">
      <w:pPr>
        <w:spacing w:after="0" w:line="240" w:lineRule="auto"/>
        <w:jc w:val="both"/>
        <w:rPr>
          <w:rFonts w:ascii="Verdana" w:hAnsi="Verdana" w:cs="Arial"/>
          <w:color w:val="000000"/>
          <w:sz w:val="20"/>
          <w:szCs w:val="20"/>
        </w:rPr>
      </w:pPr>
    </w:p>
    <w:p w14:paraId="076BFEDF" w14:textId="55BFF533" w:rsidR="000038F4" w:rsidRDefault="000038F4" w:rsidP="000038F4">
      <w:pPr>
        <w:spacing w:after="0" w:line="240" w:lineRule="auto"/>
        <w:jc w:val="both"/>
        <w:rPr>
          <w:rFonts w:ascii="Verdana" w:hAnsi="Verdana" w:cs="Arial"/>
          <w:color w:val="000000"/>
          <w:sz w:val="20"/>
          <w:szCs w:val="20"/>
        </w:rPr>
      </w:pPr>
      <w:r w:rsidRPr="000038F4">
        <w:rPr>
          <w:rFonts w:ascii="Verdana" w:hAnsi="Verdana" w:cs="Arial"/>
          <w:color w:val="000000"/>
          <w:sz w:val="20"/>
          <w:szCs w:val="20"/>
        </w:rPr>
        <w:t>Un partenariat avec La Mutuelle Familiale représente une opportunité précieuse pour améliorer la santé et le bien-être de nos administrés. En travaillant ensemble, nous pouvons offrir des solutions financières avantageuses et accessibles à tous, renforçant ainsi la cohésion sociale et soutenant les membres les plus vulnérables de notre communauté.</w:t>
      </w:r>
    </w:p>
    <w:p w14:paraId="45837037" w14:textId="201DFE9C" w:rsidR="0038738C" w:rsidRDefault="0038738C" w:rsidP="006B4C85">
      <w:pPr>
        <w:spacing w:after="0" w:line="240" w:lineRule="auto"/>
        <w:jc w:val="both"/>
        <w:rPr>
          <w:rFonts w:ascii="Verdana" w:hAnsi="Verdana" w:cs="Arial"/>
          <w:sz w:val="20"/>
          <w:szCs w:val="20"/>
        </w:rPr>
      </w:pPr>
      <w:r>
        <w:rPr>
          <w:rFonts w:ascii="Verdana" w:hAnsi="Verdana" w:cs="Arial"/>
          <w:color w:val="000000"/>
          <w:sz w:val="20"/>
          <w:szCs w:val="20"/>
        </w:rPr>
        <w:t>Après discussion, le conseil municipal, est favorable à l’unanimité à la signature de la convention avec la Mutuelle Familiale</w:t>
      </w:r>
      <w:r w:rsidR="006B4C85">
        <w:rPr>
          <w:rFonts w:ascii="Verdana" w:hAnsi="Verdana" w:cs="Arial"/>
          <w:color w:val="000000"/>
          <w:sz w:val="20"/>
          <w:szCs w:val="20"/>
        </w:rPr>
        <w:t>.</w:t>
      </w:r>
    </w:p>
    <w:p w14:paraId="54A76519" w14:textId="77777777" w:rsidR="00850C98" w:rsidRDefault="00850C98" w:rsidP="00217A58">
      <w:pPr>
        <w:pStyle w:val="Sansinterligne"/>
        <w:rPr>
          <w:color w:val="FF0000"/>
        </w:rPr>
      </w:pPr>
    </w:p>
    <w:p w14:paraId="34DE41D4" w14:textId="77777777" w:rsidR="00FC2D77" w:rsidRPr="00447E28" w:rsidRDefault="00FC2D77" w:rsidP="00217A58">
      <w:pPr>
        <w:pStyle w:val="Sansinterligne"/>
      </w:pPr>
      <w:r>
        <w:rPr>
          <w:b/>
          <w:bCs/>
          <w:color w:val="000000"/>
          <w:sz w:val="24"/>
          <w:szCs w:val="24"/>
        </w:rPr>
        <w:t>20 voix pour</w:t>
      </w:r>
    </w:p>
    <w:p w14:paraId="4D90425F" w14:textId="77777777" w:rsidR="00FC2D77" w:rsidRPr="00FC2D77" w:rsidRDefault="00FC2D77" w:rsidP="00217A58">
      <w:pPr>
        <w:pStyle w:val="Sansinterligne"/>
        <w:rPr>
          <w:b/>
        </w:rPr>
      </w:pPr>
    </w:p>
    <w:p w14:paraId="324F26FB" w14:textId="77777777" w:rsidR="00C301E4" w:rsidRDefault="00C301E4" w:rsidP="00217A58">
      <w:pPr>
        <w:pStyle w:val="Sansinterligne"/>
        <w:rPr>
          <w:b/>
        </w:rPr>
      </w:pPr>
      <w:r w:rsidRPr="00C301E4">
        <w:rPr>
          <w:b/>
        </w:rPr>
        <w:t>Questions diverses</w:t>
      </w:r>
    </w:p>
    <w:p w14:paraId="3B47E7ED" w14:textId="77777777" w:rsidR="0038738C" w:rsidRDefault="0038738C" w:rsidP="00217A58">
      <w:pPr>
        <w:pStyle w:val="Sansinterligne"/>
        <w:rPr>
          <w:b/>
        </w:rPr>
      </w:pPr>
    </w:p>
    <w:p w14:paraId="6565C40E" w14:textId="2B03FF54" w:rsidR="004119D7" w:rsidRDefault="00617194" w:rsidP="006B4C85">
      <w:pPr>
        <w:pStyle w:val="Sansinterligne"/>
        <w:jc w:val="both"/>
        <w:rPr>
          <w:bCs/>
        </w:rPr>
      </w:pPr>
      <w:r w:rsidRPr="006B4C85">
        <w:rPr>
          <w:bCs/>
        </w:rPr>
        <w:t>M. Tellier</w:t>
      </w:r>
      <w:r w:rsidR="004119D7">
        <w:rPr>
          <w:bCs/>
        </w:rPr>
        <w:t xml:space="preserve"> présente le bilan social et financier de la commune, c’</w:t>
      </w:r>
      <w:r w:rsidR="004119D7" w:rsidRPr="004119D7">
        <w:rPr>
          <w:bCs/>
        </w:rPr>
        <w:t>est un outil crucial pour comprendre la gestion et la santé financière de notre commune. Il permet de suivre l'évolution des dépenses, des recettes et de la gestion des ressources humaines. Nous avons choisi des indicateurs nous permettant de suivre l'évolution de notre commune et ainsi infirmer ou affirmer nos décisions et orientations</w:t>
      </w:r>
      <w:r w:rsidR="004119D7">
        <w:rPr>
          <w:bCs/>
        </w:rPr>
        <w:t>.</w:t>
      </w:r>
    </w:p>
    <w:p w14:paraId="0F985201" w14:textId="5537960D" w:rsidR="004119D7" w:rsidRPr="004119D7" w:rsidRDefault="004119D7" w:rsidP="004119D7">
      <w:pPr>
        <w:pStyle w:val="Sansinterligne"/>
        <w:jc w:val="both"/>
        <w:rPr>
          <w:bCs/>
        </w:rPr>
      </w:pPr>
      <w:r>
        <w:rPr>
          <w:bCs/>
        </w:rPr>
        <w:t xml:space="preserve">1) </w:t>
      </w:r>
      <w:r w:rsidRPr="004119D7">
        <w:rPr>
          <w:bCs/>
        </w:rPr>
        <w:t>Nombre d’agents : "En 2023, notre commune comptait 14 agents. Ce nombre a peu fluctué au cours des dernières années, nous avons 5 agents contractuels et 9 agents fonctionnaires.</w:t>
      </w:r>
    </w:p>
    <w:p w14:paraId="213CEBA2" w14:textId="7442C8BB" w:rsidR="0038738C" w:rsidRDefault="004119D7" w:rsidP="004119D7">
      <w:pPr>
        <w:pStyle w:val="Sansinterligne"/>
        <w:jc w:val="both"/>
        <w:rPr>
          <w:bCs/>
        </w:rPr>
      </w:pPr>
      <w:r>
        <w:rPr>
          <w:bCs/>
        </w:rPr>
        <w:t xml:space="preserve">2) </w:t>
      </w:r>
      <w:r w:rsidRPr="004119D7">
        <w:rPr>
          <w:bCs/>
        </w:rPr>
        <w:t>Répartition des agents : Les agents sont répartis comme suit : 4 dans les services administratifs,</w:t>
      </w:r>
      <w:r>
        <w:rPr>
          <w:bCs/>
        </w:rPr>
        <w:t xml:space="preserve"> </w:t>
      </w:r>
      <w:r w:rsidRPr="004119D7">
        <w:rPr>
          <w:bCs/>
        </w:rPr>
        <w:t>4 dans les services techniques, 4 dans les services éducatifs, et 2 personnels d'entretiens.</w:t>
      </w:r>
    </w:p>
    <w:p w14:paraId="6EC01D01" w14:textId="1445359D" w:rsidR="00634781" w:rsidRPr="00634781" w:rsidRDefault="00634781" w:rsidP="00634781">
      <w:pPr>
        <w:pStyle w:val="Sansinterligne"/>
        <w:jc w:val="both"/>
        <w:rPr>
          <w:bCs/>
        </w:rPr>
      </w:pPr>
      <w:r>
        <w:rPr>
          <w:bCs/>
        </w:rPr>
        <w:t xml:space="preserve">3) </w:t>
      </w:r>
      <w:r w:rsidRPr="00634781">
        <w:rPr>
          <w:bCs/>
        </w:rPr>
        <w:t>Rémunération des agents : La rémunération totale des agents en 2023 était de 400 896€€, répartie en salaires de base, primes et autres avantages. Nous constatons une nette diminution des jours d'absences et un augmentation des jours de formations ce qui laisse penser que l'accompagnement RH est proactif.</w:t>
      </w:r>
    </w:p>
    <w:p w14:paraId="21973750" w14:textId="561BDA6D" w:rsidR="00C301E4" w:rsidRDefault="00634781" w:rsidP="00217A58">
      <w:pPr>
        <w:pStyle w:val="Sansinterligne"/>
        <w:rPr>
          <w:bCs/>
        </w:rPr>
      </w:pPr>
      <w:r>
        <w:rPr>
          <w:bCs/>
        </w:rPr>
        <w:t>4)</w:t>
      </w:r>
      <w:r w:rsidRPr="00634781">
        <w:t xml:space="preserve"> </w:t>
      </w:r>
      <w:r w:rsidRPr="00634781">
        <w:rPr>
          <w:bCs/>
        </w:rPr>
        <w:t>Les charges réelles de fonctionnement ont diminué de 1 439 000 € en 2018 à 1 432 505 € en 2023, soit une légère baisse de 0,45%, ce qui témoigne d'une gestion rigoureuse des coûts.</w:t>
      </w:r>
    </w:p>
    <w:p w14:paraId="1B25DB80" w14:textId="1BE0EDEC" w:rsidR="00634781" w:rsidRDefault="00634781" w:rsidP="00217A58">
      <w:pPr>
        <w:pStyle w:val="Sansinterligne"/>
        <w:rPr>
          <w:bCs/>
        </w:rPr>
      </w:pPr>
      <w:r>
        <w:rPr>
          <w:bCs/>
        </w:rPr>
        <w:t>5)</w:t>
      </w:r>
      <w:r w:rsidRPr="00634781">
        <w:t xml:space="preserve"> </w:t>
      </w:r>
      <w:r w:rsidRPr="00634781">
        <w:rPr>
          <w:bCs/>
        </w:rPr>
        <w:t>Les produits réels de fonctionnement ont augmenté de 1 599 000 € en 2018 à 1 786 776 € en 2023, soit une hausse de 11,74%, reflétant une augmentation des revenus de la commune.</w:t>
      </w:r>
    </w:p>
    <w:p w14:paraId="62FD89CB" w14:textId="1DE06FDD" w:rsidR="00634781" w:rsidRDefault="00634781" w:rsidP="00217A58">
      <w:pPr>
        <w:pStyle w:val="Sansinterligne"/>
        <w:rPr>
          <w:bCs/>
        </w:rPr>
      </w:pPr>
      <w:r>
        <w:rPr>
          <w:bCs/>
        </w:rPr>
        <w:t>6)</w:t>
      </w:r>
      <w:r w:rsidRPr="00634781">
        <w:t xml:space="preserve"> </w:t>
      </w:r>
      <w:r w:rsidRPr="00634781">
        <w:rPr>
          <w:bCs/>
        </w:rPr>
        <w:t>La Dotation Globale de Fonctionnement (DGF) 'Part Forfaitaire' a légèrement augmenté, de 271,576 € en 2018 à 279,311 € en 2023.</w:t>
      </w:r>
    </w:p>
    <w:p w14:paraId="4077D915" w14:textId="39DE15A3" w:rsidR="00634781" w:rsidRDefault="00634781" w:rsidP="00217A58">
      <w:pPr>
        <w:pStyle w:val="Sansinterligne"/>
        <w:rPr>
          <w:bCs/>
        </w:rPr>
      </w:pPr>
      <w:r>
        <w:rPr>
          <w:bCs/>
        </w:rPr>
        <w:t>7)</w:t>
      </w:r>
      <w:r w:rsidRPr="00634781">
        <w:t xml:space="preserve"> </w:t>
      </w:r>
      <w:r w:rsidRPr="00634781">
        <w:rPr>
          <w:bCs/>
        </w:rPr>
        <w:t>La CAF brute a connu une hausse significative de 121,90% sur la période, passant de 159,657 € en 2018 à 354,271 € en 2023, ce qui montre une augmentation de la capacité de la commune à financer ses projets sans recourir à l'endettement</w:t>
      </w:r>
    </w:p>
    <w:p w14:paraId="0F67F9BF" w14:textId="786526F8" w:rsidR="00634781" w:rsidRDefault="00634781" w:rsidP="00217A58">
      <w:pPr>
        <w:pStyle w:val="Sansinterligne"/>
        <w:rPr>
          <w:bCs/>
        </w:rPr>
      </w:pPr>
      <w:r>
        <w:rPr>
          <w:bCs/>
        </w:rPr>
        <w:t>8)</w:t>
      </w:r>
      <w:r w:rsidRPr="00634781">
        <w:t xml:space="preserve"> </w:t>
      </w:r>
      <w:r w:rsidRPr="00634781">
        <w:rPr>
          <w:bCs/>
        </w:rPr>
        <w:t>La CAF nette est passée de -41,523 € en 2018 à 160,620 € en 2023, reflétant une amélioration notable de la capacité de financement net.</w:t>
      </w:r>
    </w:p>
    <w:p w14:paraId="7A06CFCF" w14:textId="7C417B75" w:rsidR="00634781" w:rsidRDefault="00634781" w:rsidP="00217A58">
      <w:pPr>
        <w:pStyle w:val="Sansinterligne"/>
        <w:rPr>
          <w:bCs/>
        </w:rPr>
      </w:pPr>
      <w:r>
        <w:rPr>
          <w:bCs/>
        </w:rPr>
        <w:lastRenderedPageBreak/>
        <w:t>9)</w:t>
      </w:r>
      <w:r w:rsidRPr="00634781">
        <w:t xml:space="preserve"> </w:t>
      </w:r>
      <w:r w:rsidRPr="00634781">
        <w:rPr>
          <w:bCs/>
        </w:rPr>
        <w:t>Le financement disponible a considérablement augmenté de 20,301 € en 2018 à 362,079 € en 2023, ce qui démontre une gestion efficace des finances communales.</w:t>
      </w:r>
    </w:p>
    <w:p w14:paraId="29E729A8" w14:textId="112D87A5" w:rsidR="00634781" w:rsidRDefault="00634781" w:rsidP="00217A58">
      <w:pPr>
        <w:pStyle w:val="Sansinterligne"/>
        <w:rPr>
          <w:bCs/>
        </w:rPr>
      </w:pPr>
      <w:r>
        <w:rPr>
          <w:bCs/>
        </w:rPr>
        <w:t>10)</w:t>
      </w:r>
      <w:r w:rsidRPr="00634781">
        <w:t xml:space="preserve"> </w:t>
      </w:r>
      <w:r w:rsidRPr="00634781">
        <w:rPr>
          <w:bCs/>
        </w:rPr>
        <w:t>Les dépenses d'équipement ont connu une hausse de 189,64%, indiquant une augmentation des investissements dans les infrastructures et les équipements de la commune.</w:t>
      </w:r>
    </w:p>
    <w:p w14:paraId="59A0A348" w14:textId="61E14034" w:rsidR="00634781" w:rsidRDefault="00634781" w:rsidP="00217A58">
      <w:pPr>
        <w:pStyle w:val="Sansinterligne"/>
        <w:rPr>
          <w:bCs/>
        </w:rPr>
      </w:pPr>
      <w:r>
        <w:rPr>
          <w:bCs/>
        </w:rPr>
        <w:t>11)</w:t>
      </w:r>
      <w:r w:rsidRPr="00634781">
        <w:t xml:space="preserve"> </w:t>
      </w:r>
      <w:r w:rsidRPr="00634781">
        <w:rPr>
          <w:bCs/>
        </w:rPr>
        <w:t>Le fonds de roulement a augmenté de 242,85%, passant de 169,028 € en 2018 à 579,519 € en 2023, ce qui montre une amélioration significative de la liquidité de la commune.</w:t>
      </w:r>
    </w:p>
    <w:p w14:paraId="6A4C3262" w14:textId="51A3C7B1" w:rsidR="00634781" w:rsidRDefault="00634781" w:rsidP="00217A58">
      <w:pPr>
        <w:pStyle w:val="Sansinterligne"/>
        <w:rPr>
          <w:bCs/>
        </w:rPr>
      </w:pPr>
      <w:r>
        <w:rPr>
          <w:bCs/>
        </w:rPr>
        <w:t>12)</w:t>
      </w:r>
      <w:r w:rsidRPr="00634781">
        <w:t xml:space="preserve"> </w:t>
      </w:r>
      <w:r w:rsidRPr="00634781">
        <w:rPr>
          <w:bCs/>
        </w:rPr>
        <w:t>La trésorerie a plus que triplé, passant de 163,914 € en 2018 à 517,466 € en 2023, soit une augmentation de 215,69%, indiquant une gestion efficace des liquidités.</w:t>
      </w:r>
    </w:p>
    <w:p w14:paraId="4D3674D8" w14:textId="6CC5C728" w:rsidR="00634781" w:rsidRDefault="00634781" w:rsidP="00217A58">
      <w:pPr>
        <w:pStyle w:val="Sansinterligne"/>
        <w:rPr>
          <w:bCs/>
        </w:rPr>
      </w:pPr>
      <w:r>
        <w:rPr>
          <w:bCs/>
        </w:rPr>
        <w:t>13)</w:t>
      </w:r>
      <w:r w:rsidRPr="00634781">
        <w:t xml:space="preserve"> </w:t>
      </w:r>
      <w:r w:rsidRPr="00634781">
        <w:rPr>
          <w:bCs/>
        </w:rPr>
        <w:t>Les dettes financières ont été réduites de 31,27%, passant de 1,771,000 € en 2018 à 1,217,141 € en 2023, reflétant une politique de désendettement efficace.</w:t>
      </w:r>
    </w:p>
    <w:p w14:paraId="23F80580" w14:textId="26DB9794" w:rsidR="00634781" w:rsidRDefault="00634781" w:rsidP="00217A58">
      <w:pPr>
        <w:pStyle w:val="Sansinterligne"/>
        <w:rPr>
          <w:bCs/>
        </w:rPr>
      </w:pPr>
      <w:r>
        <w:rPr>
          <w:bCs/>
        </w:rPr>
        <w:t>14)</w:t>
      </w:r>
      <w:r w:rsidRPr="00634781">
        <w:t xml:space="preserve"> </w:t>
      </w:r>
      <w:r w:rsidRPr="00634781">
        <w:rPr>
          <w:bCs/>
        </w:rPr>
        <w:t>Les charges financières ont également diminué, contribuant à la réduction de l'endettement de la commune.</w:t>
      </w:r>
    </w:p>
    <w:p w14:paraId="6FA1B5F5" w14:textId="2CD023D5" w:rsidR="00634781" w:rsidRDefault="00634781" w:rsidP="00217A58">
      <w:pPr>
        <w:pStyle w:val="Sansinterligne"/>
      </w:pPr>
      <w:r>
        <w:t xml:space="preserve">Pour conclure M. Tellier explique que </w:t>
      </w:r>
      <w:r w:rsidRPr="00634781">
        <w:t>notre commune a montré une gestion financière solide avec une réduction des dettes, une augmentation des financements disponibles et une gestion efficace des dépenses et des recettes. Il est clair que des efforts importants ont été faits pour assurer une santé financière stable, ce qui permet de mieux planifier pour l'avenir.</w:t>
      </w:r>
    </w:p>
    <w:p w14:paraId="5AB043B8" w14:textId="77777777" w:rsidR="006B4C85" w:rsidRDefault="006B4C85" w:rsidP="00217A58">
      <w:pPr>
        <w:pStyle w:val="Sansinterligne"/>
      </w:pPr>
    </w:p>
    <w:p w14:paraId="4D748E54" w14:textId="77777777" w:rsidR="006B4C85" w:rsidRDefault="006B4C85" w:rsidP="00217A58">
      <w:pPr>
        <w:pStyle w:val="Sansinterligne"/>
      </w:pPr>
    </w:p>
    <w:p w14:paraId="4131C085" w14:textId="77777777" w:rsidR="00EF4C52" w:rsidRDefault="00EF4C52" w:rsidP="003115AE">
      <w:pPr>
        <w:pStyle w:val="Sansinterligne"/>
      </w:pPr>
    </w:p>
    <w:p w14:paraId="2CB37A98" w14:textId="77777777" w:rsidR="00E14D96" w:rsidRDefault="00E14D96" w:rsidP="003115AE">
      <w:pPr>
        <w:pStyle w:val="Sansinterligne"/>
      </w:pPr>
      <w:r>
        <w:t>Les sujets étant épuisés, le Maire lève la séance à 19h12.</w:t>
      </w:r>
    </w:p>
    <w:p w14:paraId="7C72EF9C" w14:textId="77777777" w:rsidR="00C93706" w:rsidRDefault="00C93706" w:rsidP="003115AE">
      <w:pPr>
        <w:pStyle w:val="Sansinterligne"/>
      </w:pPr>
    </w:p>
    <w:p w14:paraId="605F1E12" w14:textId="1678FED6" w:rsidR="00C12763" w:rsidRDefault="0060611D" w:rsidP="003115AE">
      <w:pPr>
        <w:pStyle w:val="Sansinterligne"/>
      </w:pPr>
      <w:r>
        <w:rPr>
          <w:noProof/>
        </w:rPr>
        <w:drawing>
          <wp:anchor distT="0" distB="0" distL="114300" distR="114300" simplePos="0" relativeHeight="251662336" behindDoc="1" locked="0" layoutInCell="1" allowOverlap="1" wp14:anchorId="7C13BB49" wp14:editId="3AD51C4D">
            <wp:simplePos x="0" y="0"/>
            <wp:positionH relativeFrom="margin">
              <wp:align>right</wp:align>
            </wp:positionH>
            <wp:positionV relativeFrom="paragraph">
              <wp:posOffset>370840</wp:posOffset>
            </wp:positionV>
            <wp:extent cx="2809875" cy="1084057"/>
            <wp:effectExtent l="0" t="0" r="0" b="1905"/>
            <wp:wrapNone/>
            <wp:docPr id="191227378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73784" name="Image 1912273784"/>
                    <pic:cNvPicPr/>
                  </pic:nvPicPr>
                  <pic:blipFill>
                    <a:blip r:embed="rId9">
                      <a:extLst>
                        <a:ext uri="{28A0092B-C50C-407E-A947-70E740481C1C}">
                          <a14:useLocalDpi xmlns:a14="http://schemas.microsoft.com/office/drawing/2010/main" val="0"/>
                        </a:ext>
                      </a:extLst>
                    </a:blip>
                    <a:stretch>
                      <a:fillRect/>
                    </a:stretch>
                  </pic:blipFill>
                  <pic:spPr>
                    <a:xfrm>
                      <a:off x="0" y="0"/>
                      <a:ext cx="2809875" cy="1084057"/>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93706" w14:paraId="55996D9B" w14:textId="77777777" w:rsidTr="0060611D">
        <w:tc>
          <w:tcPr>
            <w:tcW w:w="4536" w:type="dxa"/>
          </w:tcPr>
          <w:p w14:paraId="3C116FAE" w14:textId="77777777" w:rsidR="00C93706" w:rsidRDefault="00C93706" w:rsidP="003115AE">
            <w:pPr>
              <w:pStyle w:val="Sansinterligne"/>
            </w:pPr>
            <w:r>
              <w:t>Monsieur BOSSI Yoann</w:t>
            </w:r>
          </w:p>
          <w:p w14:paraId="03F64992" w14:textId="3904B497" w:rsidR="004A43E9" w:rsidRDefault="004A43E9" w:rsidP="003115AE">
            <w:pPr>
              <w:pStyle w:val="Sansinterligne"/>
            </w:pPr>
            <w:r>
              <w:t>Secrétaire de séance</w:t>
            </w:r>
          </w:p>
        </w:tc>
        <w:tc>
          <w:tcPr>
            <w:tcW w:w="4536" w:type="dxa"/>
          </w:tcPr>
          <w:p w14:paraId="1A7113F9" w14:textId="7EB8E6BE" w:rsidR="00C93706" w:rsidRDefault="00C93706" w:rsidP="00C93706">
            <w:pPr>
              <w:pStyle w:val="Sansinterligne"/>
              <w:jc w:val="right"/>
            </w:pPr>
            <w:r>
              <w:t>Monsieur KOCIAK Jean-Claude,</w:t>
            </w:r>
          </w:p>
          <w:p w14:paraId="7F17F831" w14:textId="3FD30EF8" w:rsidR="00C93706" w:rsidRDefault="00C93706" w:rsidP="00C93706">
            <w:pPr>
              <w:pStyle w:val="Sansinterligne"/>
              <w:jc w:val="right"/>
            </w:pPr>
            <w:r>
              <w:t>Maire</w:t>
            </w:r>
          </w:p>
        </w:tc>
      </w:tr>
    </w:tbl>
    <w:p w14:paraId="08F77DD9" w14:textId="32F67128" w:rsidR="00C12763" w:rsidRDefault="0060611D" w:rsidP="0060611D">
      <w:r>
        <w:rPr>
          <w:noProof/>
        </w:rPr>
        <w:drawing>
          <wp:anchor distT="0" distB="0" distL="114300" distR="114300" simplePos="0" relativeHeight="251661312" behindDoc="1" locked="0" layoutInCell="1" allowOverlap="1" wp14:anchorId="2AE2F166" wp14:editId="69DAAB8E">
            <wp:simplePos x="0" y="0"/>
            <wp:positionH relativeFrom="column">
              <wp:posOffset>14605</wp:posOffset>
            </wp:positionH>
            <wp:positionV relativeFrom="paragraph">
              <wp:posOffset>24130</wp:posOffset>
            </wp:positionV>
            <wp:extent cx="2466975" cy="946921"/>
            <wp:effectExtent l="0" t="0" r="0" b="5715"/>
            <wp:wrapNone/>
            <wp:docPr id="92380546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05461" name="Image 923805461"/>
                    <pic:cNvPicPr/>
                  </pic:nvPicPr>
                  <pic:blipFill>
                    <a:blip r:embed="rId10">
                      <a:extLst>
                        <a:ext uri="{28A0092B-C50C-407E-A947-70E740481C1C}">
                          <a14:useLocalDpi xmlns:a14="http://schemas.microsoft.com/office/drawing/2010/main" val="0"/>
                        </a:ext>
                      </a:extLst>
                    </a:blip>
                    <a:stretch>
                      <a:fillRect/>
                    </a:stretch>
                  </pic:blipFill>
                  <pic:spPr>
                    <a:xfrm>
                      <a:off x="0" y="0"/>
                      <a:ext cx="2479302" cy="951653"/>
                    </a:xfrm>
                    <a:prstGeom prst="rect">
                      <a:avLst/>
                    </a:prstGeom>
                  </pic:spPr>
                </pic:pic>
              </a:graphicData>
            </a:graphic>
            <wp14:sizeRelH relativeFrom="margin">
              <wp14:pctWidth>0</wp14:pctWidth>
            </wp14:sizeRelH>
            <wp14:sizeRelV relativeFrom="margin">
              <wp14:pctHeight>0</wp14:pctHeight>
            </wp14:sizeRelV>
          </wp:anchor>
        </w:drawing>
      </w:r>
    </w:p>
    <w:sectPr w:rsidR="00C1276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175B" w14:textId="77777777" w:rsidR="00720342" w:rsidRDefault="00720342" w:rsidP="00802E5C">
      <w:pPr>
        <w:spacing w:after="0" w:line="240" w:lineRule="auto"/>
      </w:pPr>
      <w:r>
        <w:separator/>
      </w:r>
    </w:p>
  </w:endnote>
  <w:endnote w:type="continuationSeparator" w:id="0">
    <w:p w14:paraId="24E5C27E" w14:textId="77777777" w:rsidR="00720342" w:rsidRDefault="00720342" w:rsidP="0080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12BE" w14:textId="77777777" w:rsidR="00802E5C" w:rsidRDefault="00802E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6"/>
      <w:gridCol w:w="2266"/>
    </w:tblGrid>
    <w:tr w:rsidR="00802E5C" w14:paraId="67891ECA" w14:textId="77777777" w:rsidTr="00802E5C">
      <w:tc>
        <w:tcPr>
          <w:tcW w:w="6912" w:type="dxa"/>
          <w:hideMark/>
        </w:tcPr>
        <w:p w14:paraId="2902BDD8" w14:textId="77777777" w:rsidR="00802E5C" w:rsidRDefault="00802E5C">
          <w:pPr>
            <w:pStyle w:val="Pieddepage"/>
          </w:pPr>
          <w:r>
            <w:t>Procès-verbal du 20 juin 2024</w:t>
          </w:r>
        </w:p>
      </w:tc>
      <w:tc>
        <w:tcPr>
          <w:tcW w:w="2300" w:type="dxa"/>
          <w:hideMark/>
        </w:tcPr>
        <w:sdt>
          <w:sdtPr>
            <w:id w:val="1719392774"/>
            <w:docPartObj>
              <w:docPartGallery w:val="Page Numbers (Bottom of Page)"/>
              <w:docPartUnique/>
            </w:docPartObj>
          </w:sdtPr>
          <w:sdtEndPr/>
          <w:sdtContent>
            <w:p w14:paraId="6939C00A" w14:textId="77777777" w:rsidR="00802E5C" w:rsidRDefault="00802E5C">
              <w:pPr>
                <w:pStyle w:val="Pieddepage"/>
                <w:jc w:val="right"/>
              </w:pPr>
              <w:r>
                <w:fldChar w:fldCharType="begin"/>
              </w:r>
              <w:r>
                <w:instrText>PAGE   \* MERGEFORMAT</w:instrText>
              </w:r>
              <w:r>
                <w:fldChar w:fldCharType="separate"/>
              </w:r>
              <w:r w:rsidR="003A2D17">
                <w:rPr>
                  <w:noProof/>
                </w:rPr>
                <w:t>1</w:t>
              </w:r>
              <w:r>
                <w:fldChar w:fldCharType="end"/>
              </w:r>
            </w:p>
          </w:sdtContent>
        </w:sdt>
      </w:tc>
    </w:tr>
  </w:tbl>
  <w:p w14:paraId="126F1F73" w14:textId="77777777" w:rsidR="00802E5C" w:rsidRPr="00802E5C" w:rsidRDefault="00802E5C" w:rsidP="00802E5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F463" w14:textId="77777777" w:rsidR="00802E5C" w:rsidRDefault="00802E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CD04D" w14:textId="77777777" w:rsidR="00720342" w:rsidRDefault="00720342" w:rsidP="00802E5C">
      <w:pPr>
        <w:spacing w:after="0" w:line="240" w:lineRule="auto"/>
      </w:pPr>
      <w:r>
        <w:separator/>
      </w:r>
    </w:p>
  </w:footnote>
  <w:footnote w:type="continuationSeparator" w:id="0">
    <w:p w14:paraId="13D630A7" w14:textId="77777777" w:rsidR="00720342" w:rsidRDefault="00720342" w:rsidP="0080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73EF" w14:textId="2DBEA27C" w:rsidR="00802E5C" w:rsidRDefault="00545B29">
    <w:pPr>
      <w:pStyle w:val="En-tte"/>
    </w:pPr>
    <w:r>
      <w:rPr>
        <w:noProof/>
      </w:rPr>
      <mc:AlternateContent>
        <mc:Choice Requires="wps">
          <w:drawing>
            <wp:anchor distT="0" distB="0" distL="0" distR="0" simplePos="0" relativeHeight="251659264" behindDoc="0" locked="0" layoutInCell="1" allowOverlap="1" wp14:anchorId="056C484A" wp14:editId="3169E0E5">
              <wp:simplePos x="635" y="635"/>
              <wp:positionH relativeFrom="page">
                <wp:align>right</wp:align>
              </wp:positionH>
              <wp:positionV relativeFrom="page">
                <wp:align>top</wp:align>
              </wp:positionV>
              <wp:extent cx="443865" cy="443865"/>
              <wp:effectExtent l="0" t="0" r="0" b="7620"/>
              <wp:wrapNone/>
              <wp:docPr id="2" name="Zone de texte 2" descr="RESTREINT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27E6A" w14:textId="3FE86A12" w:rsidR="00545B29" w:rsidRPr="00545B29" w:rsidRDefault="00545B29" w:rsidP="00545B29">
                          <w:pPr>
                            <w:spacing w:after="0"/>
                            <w:rPr>
                              <w:rFonts w:ascii="Calibri" w:eastAsia="Calibri" w:hAnsi="Calibri" w:cs="Calibri"/>
                              <w:noProof/>
                              <w:color w:val="000000"/>
                              <w:sz w:val="12"/>
                              <w:szCs w:val="12"/>
                            </w:rPr>
                          </w:pPr>
                          <w:r w:rsidRPr="00545B29">
                            <w:rPr>
                              <w:rFonts w:ascii="Calibri" w:eastAsia="Calibri" w:hAnsi="Calibri" w:cs="Calibri"/>
                              <w:noProof/>
                              <w:color w:val="000000"/>
                              <w:sz w:val="12"/>
                              <w:szCs w:val="12"/>
                            </w:rPr>
                            <w:t xml:space="preserve">RESTREINT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6C484A" id="_x0000_t202" coordsize="21600,21600" o:spt="202" path="m,l,21600r21600,l21600,xe">
              <v:stroke joinstyle="miter"/>
              <v:path gradientshapeok="t" o:connecttype="rect"/>
            </v:shapetype>
            <v:shape id="Zone de texte 2" o:spid="_x0000_s1026" type="#_x0000_t202" alt="RESTREINT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6F27E6A" w14:textId="3FE86A12" w:rsidR="00545B29" w:rsidRPr="00545B29" w:rsidRDefault="00545B29" w:rsidP="00545B29">
                    <w:pPr>
                      <w:spacing w:after="0"/>
                      <w:rPr>
                        <w:rFonts w:ascii="Calibri" w:eastAsia="Calibri" w:hAnsi="Calibri" w:cs="Calibri"/>
                        <w:noProof/>
                        <w:color w:val="000000"/>
                        <w:sz w:val="12"/>
                        <w:szCs w:val="12"/>
                      </w:rPr>
                    </w:pPr>
                    <w:r w:rsidRPr="00545B29">
                      <w:rPr>
                        <w:rFonts w:ascii="Calibri" w:eastAsia="Calibri" w:hAnsi="Calibri" w:cs="Calibri"/>
                        <w:noProof/>
                        <w:color w:val="000000"/>
                        <w:sz w:val="12"/>
                        <w:szCs w:val="12"/>
                      </w:rPr>
                      <w:t xml:space="preserve">RESTREINT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CD83" w14:textId="0F9DFFE7" w:rsidR="00802E5C" w:rsidRDefault="00545B29">
    <w:pPr>
      <w:pStyle w:val="En-tte"/>
    </w:pPr>
    <w:r>
      <w:rPr>
        <w:noProof/>
      </w:rPr>
      <mc:AlternateContent>
        <mc:Choice Requires="wps">
          <w:drawing>
            <wp:anchor distT="0" distB="0" distL="0" distR="0" simplePos="0" relativeHeight="251660288" behindDoc="0" locked="0" layoutInCell="1" allowOverlap="1" wp14:anchorId="3B6F081A" wp14:editId="4313C608">
              <wp:simplePos x="904875" y="447675"/>
              <wp:positionH relativeFrom="page">
                <wp:align>right</wp:align>
              </wp:positionH>
              <wp:positionV relativeFrom="page">
                <wp:align>top</wp:align>
              </wp:positionV>
              <wp:extent cx="443865" cy="443865"/>
              <wp:effectExtent l="0" t="0" r="0" b="7620"/>
              <wp:wrapNone/>
              <wp:docPr id="3" name="Zone de texte 3" descr="RESTREINT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C4EE7" w14:textId="509BBA33" w:rsidR="00545B29" w:rsidRPr="00545B29" w:rsidRDefault="00545B29" w:rsidP="00545B29">
                          <w:pPr>
                            <w:spacing w:after="0"/>
                            <w:rPr>
                              <w:rFonts w:ascii="Calibri" w:eastAsia="Calibri" w:hAnsi="Calibri" w:cs="Calibri"/>
                              <w:noProof/>
                              <w:color w:val="000000"/>
                              <w:sz w:val="12"/>
                              <w:szCs w:val="12"/>
                            </w:rPr>
                          </w:pPr>
                          <w:r w:rsidRPr="00545B29">
                            <w:rPr>
                              <w:rFonts w:ascii="Calibri" w:eastAsia="Calibri" w:hAnsi="Calibri" w:cs="Calibri"/>
                              <w:noProof/>
                              <w:color w:val="000000"/>
                              <w:sz w:val="12"/>
                              <w:szCs w:val="12"/>
                            </w:rPr>
                            <w:t xml:space="preserve">RESTREINT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6F081A" id="_x0000_t202" coordsize="21600,21600" o:spt="202" path="m,l,21600r21600,l21600,xe">
              <v:stroke joinstyle="miter"/>
              <v:path gradientshapeok="t" o:connecttype="rect"/>
            </v:shapetype>
            <v:shape id="Zone de texte 3" o:spid="_x0000_s1027" type="#_x0000_t202" alt="RESTREINT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CEC4EE7" w14:textId="509BBA33" w:rsidR="00545B29" w:rsidRPr="00545B29" w:rsidRDefault="00545B29" w:rsidP="00545B29">
                    <w:pPr>
                      <w:spacing w:after="0"/>
                      <w:rPr>
                        <w:rFonts w:ascii="Calibri" w:eastAsia="Calibri" w:hAnsi="Calibri" w:cs="Calibri"/>
                        <w:noProof/>
                        <w:color w:val="000000"/>
                        <w:sz w:val="12"/>
                        <w:szCs w:val="12"/>
                      </w:rPr>
                    </w:pPr>
                    <w:r w:rsidRPr="00545B29">
                      <w:rPr>
                        <w:rFonts w:ascii="Calibri" w:eastAsia="Calibri" w:hAnsi="Calibri" w:cs="Calibri"/>
                        <w:noProof/>
                        <w:color w:val="000000"/>
                        <w:sz w:val="12"/>
                        <w:szCs w:val="12"/>
                      </w:rPr>
                      <w:t xml:space="preserve">RESTREINT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815D" w14:textId="36BEAE72" w:rsidR="00802E5C" w:rsidRDefault="00545B29">
    <w:pPr>
      <w:pStyle w:val="En-tte"/>
    </w:pPr>
    <w:r>
      <w:rPr>
        <w:noProof/>
      </w:rPr>
      <mc:AlternateContent>
        <mc:Choice Requires="wps">
          <w:drawing>
            <wp:anchor distT="0" distB="0" distL="0" distR="0" simplePos="0" relativeHeight="251658240" behindDoc="0" locked="0" layoutInCell="1" allowOverlap="1" wp14:anchorId="4C3722DB" wp14:editId="71DAD24C">
              <wp:simplePos x="635" y="635"/>
              <wp:positionH relativeFrom="page">
                <wp:align>right</wp:align>
              </wp:positionH>
              <wp:positionV relativeFrom="page">
                <wp:align>top</wp:align>
              </wp:positionV>
              <wp:extent cx="443865" cy="443865"/>
              <wp:effectExtent l="0" t="0" r="0" b="7620"/>
              <wp:wrapNone/>
              <wp:docPr id="1" name="Zone de texte 1" descr="RESTREINT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64B775" w14:textId="15DED3D4" w:rsidR="00545B29" w:rsidRPr="00545B29" w:rsidRDefault="00545B29" w:rsidP="00545B29">
                          <w:pPr>
                            <w:spacing w:after="0"/>
                            <w:rPr>
                              <w:rFonts w:ascii="Calibri" w:eastAsia="Calibri" w:hAnsi="Calibri" w:cs="Calibri"/>
                              <w:noProof/>
                              <w:color w:val="000000"/>
                              <w:sz w:val="12"/>
                              <w:szCs w:val="12"/>
                            </w:rPr>
                          </w:pPr>
                          <w:r w:rsidRPr="00545B29">
                            <w:rPr>
                              <w:rFonts w:ascii="Calibri" w:eastAsia="Calibri" w:hAnsi="Calibri" w:cs="Calibri"/>
                              <w:noProof/>
                              <w:color w:val="000000"/>
                              <w:sz w:val="12"/>
                              <w:szCs w:val="12"/>
                            </w:rPr>
                            <w:t xml:space="preserve">RESTREINT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3722DB" id="_x0000_t202" coordsize="21600,21600" o:spt="202" path="m,l,21600r21600,l21600,xe">
              <v:stroke joinstyle="miter"/>
              <v:path gradientshapeok="t" o:connecttype="rect"/>
            </v:shapetype>
            <v:shape id="Zone de texte 1" o:spid="_x0000_s1028" type="#_x0000_t202" alt="RESTREINT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3F64B775" w14:textId="15DED3D4" w:rsidR="00545B29" w:rsidRPr="00545B29" w:rsidRDefault="00545B29" w:rsidP="00545B29">
                    <w:pPr>
                      <w:spacing w:after="0"/>
                      <w:rPr>
                        <w:rFonts w:ascii="Calibri" w:eastAsia="Calibri" w:hAnsi="Calibri" w:cs="Calibri"/>
                        <w:noProof/>
                        <w:color w:val="000000"/>
                        <w:sz w:val="12"/>
                        <w:szCs w:val="12"/>
                      </w:rPr>
                    </w:pPr>
                    <w:r w:rsidRPr="00545B29">
                      <w:rPr>
                        <w:rFonts w:ascii="Calibri" w:eastAsia="Calibri" w:hAnsi="Calibri" w:cs="Calibri"/>
                        <w:noProof/>
                        <w:color w:val="000000"/>
                        <w:sz w:val="12"/>
                        <w:szCs w:val="12"/>
                      </w:rPr>
                      <w:t xml:space="preserve">RESTREINT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31B7"/>
    <w:multiLevelType w:val="hybridMultilevel"/>
    <w:tmpl w:val="FB5EE138"/>
    <w:lvl w:ilvl="0" w:tplc="56587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F55459"/>
    <w:multiLevelType w:val="hybridMultilevel"/>
    <w:tmpl w:val="2E0267D8"/>
    <w:lvl w:ilvl="0" w:tplc="5064A36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5121E6"/>
    <w:multiLevelType w:val="hybridMultilevel"/>
    <w:tmpl w:val="38683A52"/>
    <w:lvl w:ilvl="0" w:tplc="48413099">
      <w:start w:val="1"/>
      <w:numFmt w:val="decimal"/>
      <w:lvlText w:val="%1."/>
      <w:lvlJc w:val="left"/>
      <w:pPr>
        <w:ind w:left="720" w:hanging="360"/>
      </w:pPr>
    </w:lvl>
    <w:lvl w:ilvl="1" w:tplc="48413099" w:tentative="1">
      <w:start w:val="1"/>
      <w:numFmt w:val="lowerLetter"/>
      <w:lvlText w:val="%2."/>
      <w:lvlJc w:val="left"/>
      <w:pPr>
        <w:ind w:left="1440" w:hanging="360"/>
      </w:pPr>
    </w:lvl>
    <w:lvl w:ilvl="2" w:tplc="48413099" w:tentative="1">
      <w:start w:val="1"/>
      <w:numFmt w:val="lowerRoman"/>
      <w:lvlText w:val="%3."/>
      <w:lvlJc w:val="right"/>
      <w:pPr>
        <w:ind w:left="2160" w:hanging="180"/>
      </w:pPr>
    </w:lvl>
    <w:lvl w:ilvl="3" w:tplc="48413099" w:tentative="1">
      <w:start w:val="1"/>
      <w:numFmt w:val="decimal"/>
      <w:lvlText w:val="%4."/>
      <w:lvlJc w:val="left"/>
      <w:pPr>
        <w:ind w:left="2880" w:hanging="360"/>
      </w:pPr>
    </w:lvl>
    <w:lvl w:ilvl="4" w:tplc="48413099" w:tentative="1">
      <w:start w:val="1"/>
      <w:numFmt w:val="lowerLetter"/>
      <w:lvlText w:val="%5."/>
      <w:lvlJc w:val="left"/>
      <w:pPr>
        <w:ind w:left="3600" w:hanging="360"/>
      </w:pPr>
    </w:lvl>
    <w:lvl w:ilvl="5" w:tplc="48413099" w:tentative="1">
      <w:start w:val="1"/>
      <w:numFmt w:val="lowerRoman"/>
      <w:lvlText w:val="%6."/>
      <w:lvlJc w:val="right"/>
      <w:pPr>
        <w:ind w:left="4320" w:hanging="180"/>
      </w:pPr>
    </w:lvl>
    <w:lvl w:ilvl="6" w:tplc="48413099" w:tentative="1">
      <w:start w:val="1"/>
      <w:numFmt w:val="decimal"/>
      <w:lvlText w:val="%7."/>
      <w:lvlJc w:val="left"/>
      <w:pPr>
        <w:ind w:left="5040" w:hanging="360"/>
      </w:pPr>
    </w:lvl>
    <w:lvl w:ilvl="7" w:tplc="48413099" w:tentative="1">
      <w:start w:val="1"/>
      <w:numFmt w:val="lowerLetter"/>
      <w:lvlText w:val="%8."/>
      <w:lvlJc w:val="left"/>
      <w:pPr>
        <w:ind w:left="5760" w:hanging="360"/>
      </w:pPr>
    </w:lvl>
    <w:lvl w:ilvl="8" w:tplc="48413099" w:tentative="1">
      <w:start w:val="1"/>
      <w:numFmt w:val="lowerRoman"/>
      <w:lvlText w:val="%9."/>
      <w:lvlJc w:val="right"/>
      <w:pPr>
        <w:ind w:left="6480" w:hanging="180"/>
      </w:pPr>
    </w:lvl>
  </w:abstractNum>
  <w:abstractNum w:abstractNumId="3" w15:restartNumberingAfterBreak="0">
    <w:nsid w:val="29124B08"/>
    <w:multiLevelType w:val="hybridMultilevel"/>
    <w:tmpl w:val="DC1838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64098C"/>
    <w:multiLevelType w:val="hybridMultilevel"/>
    <w:tmpl w:val="78D6060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8DE6561"/>
    <w:multiLevelType w:val="hybridMultilevel"/>
    <w:tmpl w:val="0E94AF7E"/>
    <w:lvl w:ilvl="0" w:tplc="31554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8C33DB4"/>
    <w:multiLevelType w:val="hybridMultilevel"/>
    <w:tmpl w:val="D0027AF6"/>
    <w:lvl w:ilvl="0" w:tplc="74663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5868692">
    <w:abstractNumId w:val="3"/>
  </w:num>
  <w:num w:numId="2" w16cid:durableId="1085766272">
    <w:abstractNumId w:val="1"/>
  </w:num>
  <w:num w:numId="3" w16cid:durableId="538208261">
    <w:abstractNumId w:val="4"/>
  </w:num>
  <w:num w:numId="4" w16cid:durableId="1136871242">
    <w:abstractNumId w:val="5"/>
  </w:num>
  <w:num w:numId="5" w16cid:durableId="1974404403">
    <w:abstractNumId w:val="2"/>
  </w:num>
  <w:num w:numId="6" w16cid:durableId="1853912094">
    <w:abstractNumId w:val="6"/>
  </w:num>
  <w:num w:numId="7" w16cid:durableId="43321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4C"/>
    <w:rsid w:val="000038F4"/>
    <w:rsid w:val="00062FDA"/>
    <w:rsid w:val="000D0A78"/>
    <w:rsid w:val="00102668"/>
    <w:rsid w:val="0012075F"/>
    <w:rsid w:val="00126380"/>
    <w:rsid w:val="001301CA"/>
    <w:rsid w:val="001C2512"/>
    <w:rsid w:val="001E3396"/>
    <w:rsid w:val="00217A58"/>
    <w:rsid w:val="002410F9"/>
    <w:rsid w:val="00272AE1"/>
    <w:rsid w:val="002807F8"/>
    <w:rsid w:val="002D5621"/>
    <w:rsid w:val="00305526"/>
    <w:rsid w:val="003115AE"/>
    <w:rsid w:val="003765A9"/>
    <w:rsid w:val="0038738C"/>
    <w:rsid w:val="003A2D17"/>
    <w:rsid w:val="003F3CE7"/>
    <w:rsid w:val="004055B1"/>
    <w:rsid w:val="004059D3"/>
    <w:rsid w:val="004119D7"/>
    <w:rsid w:val="00425DFF"/>
    <w:rsid w:val="004455C0"/>
    <w:rsid w:val="00447E28"/>
    <w:rsid w:val="004532A8"/>
    <w:rsid w:val="004903BE"/>
    <w:rsid w:val="004A43E9"/>
    <w:rsid w:val="004C52E4"/>
    <w:rsid w:val="004C5F83"/>
    <w:rsid w:val="00545B29"/>
    <w:rsid w:val="00547C9E"/>
    <w:rsid w:val="00565519"/>
    <w:rsid w:val="005B7666"/>
    <w:rsid w:val="0060611D"/>
    <w:rsid w:val="00617194"/>
    <w:rsid w:val="00624895"/>
    <w:rsid w:val="00634781"/>
    <w:rsid w:val="0067384C"/>
    <w:rsid w:val="00681648"/>
    <w:rsid w:val="006B4840"/>
    <w:rsid w:val="006B4C85"/>
    <w:rsid w:val="006F3FAD"/>
    <w:rsid w:val="006F52B3"/>
    <w:rsid w:val="00720342"/>
    <w:rsid w:val="007341AD"/>
    <w:rsid w:val="00741C7E"/>
    <w:rsid w:val="0074308E"/>
    <w:rsid w:val="007620E1"/>
    <w:rsid w:val="00796917"/>
    <w:rsid w:val="007F124C"/>
    <w:rsid w:val="00802E5C"/>
    <w:rsid w:val="00836C33"/>
    <w:rsid w:val="00850C98"/>
    <w:rsid w:val="008E6295"/>
    <w:rsid w:val="008F7D2A"/>
    <w:rsid w:val="0090627F"/>
    <w:rsid w:val="009117BF"/>
    <w:rsid w:val="00916CA2"/>
    <w:rsid w:val="00971EE0"/>
    <w:rsid w:val="00994CE0"/>
    <w:rsid w:val="009F3FAD"/>
    <w:rsid w:val="009F761C"/>
    <w:rsid w:val="00A5652F"/>
    <w:rsid w:val="00A91967"/>
    <w:rsid w:val="00B01461"/>
    <w:rsid w:val="00B550C4"/>
    <w:rsid w:val="00B64C88"/>
    <w:rsid w:val="00B867E8"/>
    <w:rsid w:val="00BF0567"/>
    <w:rsid w:val="00BF2861"/>
    <w:rsid w:val="00C12763"/>
    <w:rsid w:val="00C2355A"/>
    <w:rsid w:val="00C301E4"/>
    <w:rsid w:val="00C30527"/>
    <w:rsid w:val="00C86720"/>
    <w:rsid w:val="00C93706"/>
    <w:rsid w:val="00CC37D0"/>
    <w:rsid w:val="00D475C6"/>
    <w:rsid w:val="00D94964"/>
    <w:rsid w:val="00DD567B"/>
    <w:rsid w:val="00E14D96"/>
    <w:rsid w:val="00EE0D8C"/>
    <w:rsid w:val="00EF4C52"/>
    <w:rsid w:val="00F81B3D"/>
    <w:rsid w:val="00F8636A"/>
    <w:rsid w:val="00FB16F9"/>
    <w:rsid w:val="00FC2D77"/>
    <w:rsid w:val="00FC6395"/>
    <w:rsid w:val="00FD3124"/>
    <w:rsid w:val="00FD5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97C9"/>
  <w15:docId w15:val="{EB30FD45-94AB-493B-A4F5-311A2E73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124C"/>
    <w:pPr>
      <w:spacing w:after="0" w:line="240" w:lineRule="auto"/>
    </w:pPr>
  </w:style>
  <w:style w:type="paragraph" w:styleId="Textedebulles">
    <w:name w:val="Balloon Text"/>
    <w:basedOn w:val="Normal"/>
    <w:link w:val="TextedebullesCar"/>
    <w:uiPriority w:val="99"/>
    <w:semiHidden/>
    <w:unhideWhenUsed/>
    <w:rsid w:val="001C25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512"/>
    <w:rPr>
      <w:rFonts w:ascii="Tahoma" w:hAnsi="Tahoma" w:cs="Tahoma"/>
      <w:sz w:val="16"/>
      <w:szCs w:val="16"/>
    </w:rPr>
  </w:style>
  <w:style w:type="table" w:styleId="Grilledutableau">
    <w:name w:val="Table Grid"/>
    <w:basedOn w:val="TableauNormal"/>
    <w:rsid w:val="00C9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02E5C"/>
    <w:pPr>
      <w:tabs>
        <w:tab w:val="center" w:pos="4536"/>
        <w:tab w:val="right" w:pos="9072"/>
      </w:tabs>
      <w:spacing w:after="0" w:line="240" w:lineRule="auto"/>
    </w:pPr>
  </w:style>
  <w:style w:type="character" w:customStyle="1" w:styleId="En-tteCar">
    <w:name w:val="En-tête Car"/>
    <w:basedOn w:val="Policepardfaut"/>
    <w:link w:val="En-tte"/>
    <w:uiPriority w:val="99"/>
    <w:rsid w:val="00802E5C"/>
  </w:style>
  <w:style w:type="paragraph" w:styleId="Pieddepage">
    <w:name w:val="footer"/>
    <w:basedOn w:val="Normal"/>
    <w:link w:val="PieddepageCar"/>
    <w:uiPriority w:val="99"/>
    <w:unhideWhenUsed/>
    <w:rsid w:val="00802E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E5C"/>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text-bold">
    <w:name w:val="text-bold"/>
    <w:basedOn w:val="Policepardfaut"/>
    <w:rsid w:val="0060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09322">
      <w:bodyDiv w:val="1"/>
      <w:marLeft w:val="0"/>
      <w:marRight w:val="0"/>
      <w:marTop w:val="0"/>
      <w:marBottom w:val="0"/>
      <w:divBdr>
        <w:top w:val="none" w:sz="0" w:space="0" w:color="auto"/>
        <w:left w:val="none" w:sz="0" w:space="0" w:color="auto"/>
        <w:bottom w:val="none" w:sz="0" w:space="0" w:color="auto"/>
        <w:right w:val="none" w:sz="0" w:space="0" w:color="auto"/>
      </w:divBdr>
    </w:div>
    <w:div w:id="4769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VAR_MEMBER</b:Tag>
    <b:RefOrder>2</b:RefOrder>
  </b:Source>
  <b:Source xmlns:b="http://schemas.openxmlformats.org/officeDocument/2006/bibliography" xmlns="http://schemas.openxmlformats.org/officeDocument/2006/bibliography">
    <b:Tag>BLOCK_FIRST</b:Tag>
    <b:RefOrder>1</b:RefOrder>
  </b:Source>
</b:Sources>
</file>

<file path=customXml/itemProps1.xml><?xml version="1.0" encoding="utf-8"?>
<ds:datastoreItem xmlns:ds="http://schemas.openxmlformats.org/officeDocument/2006/customXml" ds:itemID="{C57E9E6E-2304-4844-99A2-67FEB22A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1725</Words>
  <Characters>9488</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Mouillet</dc:creator>
  <cp:lastModifiedBy>Virginie</cp:lastModifiedBy>
  <cp:revision>2</cp:revision>
  <cp:lastPrinted>2024-06-28T12:50:00Z</cp:lastPrinted>
  <dcterms:created xsi:type="dcterms:W3CDTF">2024-06-28T12:50:00Z</dcterms:created>
  <dcterms:modified xsi:type="dcterms:W3CDTF">2024-06-28T12:50:00Z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convoc_date_seance">
    <vt:lpwstr>20/06/2024</vt:lpwstr>
  </property>
  <property fmtid="{D5CDD505-2E9C-101B-9397-08002B2CF9AE}" pid="3" name="Xconvoc_type">
    <vt:lpwstr>PV</vt:lpwstr>
  </property>
  <property fmtid="{D5CDD505-2E9C-101B-9397-08002B2CF9AE}" pid="4" name="UID_COL">
    <vt:lpwstr>MA54533-5</vt:lpwstr>
  </property>
  <property fmtid="{D5CDD505-2E9C-101B-9397-08002B2CF9AE}" pid="5" name="Xconvoc_signature_secretaire">
    <vt:lpwstr>52957</vt:lpwstr>
  </property>
  <property fmtid="{D5CDD505-2E9C-101B-9397-08002B2CF9AE}" pid="6" name="ClassificationContentMarkingHeaderShapeIds">
    <vt:lpwstr>1,2,3</vt:lpwstr>
  </property>
  <property fmtid="{D5CDD505-2E9C-101B-9397-08002B2CF9AE}" pid="7" name="ClassificationContentMarkingHeaderFontProps">
    <vt:lpwstr>#000000,6,Calibri</vt:lpwstr>
  </property>
  <property fmtid="{D5CDD505-2E9C-101B-9397-08002B2CF9AE}" pid="8" name="ClassificationContentMarkingHeaderText">
    <vt:lpwstr>RESTREINT </vt:lpwstr>
  </property>
  <property fmtid="{D5CDD505-2E9C-101B-9397-08002B2CF9AE}" pid="9" name="MSIP_Label_6a410dac-b8c1-42e8-a8aa-7f4dea38d183_Enabled">
    <vt:lpwstr>true</vt:lpwstr>
  </property>
  <property fmtid="{D5CDD505-2E9C-101B-9397-08002B2CF9AE}" pid="10" name="MSIP_Label_6a410dac-b8c1-42e8-a8aa-7f4dea38d183_SetDate">
    <vt:lpwstr>2024-06-26T07:25:41Z</vt:lpwstr>
  </property>
  <property fmtid="{D5CDD505-2E9C-101B-9397-08002B2CF9AE}" pid="11" name="MSIP_Label_6a410dac-b8c1-42e8-a8aa-7f4dea38d183_Method">
    <vt:lpwstr>Standard</vt:lpwstr>
  </property>
  <property fmtid="{D5CDD505-2E9C-101B-9397-08002B2CF9AE}" pid="12" name="MSIP_Label_6a410dac-b8c1-42e8-a8aa-7f4dea38d183_Name">
    <vt:lpwstr>SL_LIMITED_FR</vt:lpwstr>
  </property>
  <property fmtid="{D5CDD505-2E9C-101B-9397-08002B2CF9AE}" pid="13" name="MSIP_Label_6a410dac-b8c1-42e8-a8aa-7f4dea38d183_SiteId">
    <vt:lpwstr>0a8cf587-062e-4caa-b22a-191d71fb28d3</vt:lpwstr>
  </property>
  <property fmtid="{D5CDD505-2E9C-101B-9397-08002B2CF9AE}" pid="14" name="MSIP_Label_6a410dac-b8c1-42e8-a8aa-7f4dea38d183_ActionId">
    <vt:lpwstr>70baf8b3-2ce5-4940-9c4e-b2783d77ba90</vt:lpwstr>
  </property>
  <property fmtid="{D5CDD505-2E9C-101B-9397-08002B2CF9AE}" pid="15" name="MSIP_Label_6a410dac-b8c1-42e8-a8aa-7f4dea38d183_ContentBits">
    <vt:lpwstr>3</vt:lpwstr>
  </property>
</Properties>
</file>